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南银理财珠联璧合鑫逸稳一年57期封闭式公募人民币理财产品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南银理财珠联璧合鑫逸稳一年57期封闭式公募人民币理财产品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Z7003222000025（投资者可依据该编码在中国理财网www.chinawealth.com.cn查询理财产品相关信息）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2022年04月20日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1,227,818,442.00份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鑫元基金管理有限公司、鹏华基金管理有限公司、华夏基金管理有限公司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Y30057</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1,256,053,639.51</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1.0229</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1.0229</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报告期内，本产品以帮客户实现稳定收益为目标，力求产品净值的稳定增长，产品主要投资于定制债券专户及优质非标债权资产，其中专户严把信用风险、注重分散投资、灵活管理久期，非标债权</w:t>
      </w:r>
      <w:bookmarkStart w:id="0" w:name="_GoBack"/>
      <w:bookmarkEnd w:id="0"/>
      <w:r>
        <w:rPr>
          <w:rFonts w:hint="eastAsia" w:ascii="方正仿宋_GBK" w:eastAsia="方正仿宋_GBK" w:hAnsiTheme="minorHAnsi" w:cstheme="minorBidi"/>
          <w:sz w:val="24"/>
          <w:szCs w:val="24"/>
        </w:rPr>
        <w:t>资产严选标的、锁定收益。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截至报告期末，本产品份额净值为1.0229元。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2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8"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ZZGJT202005290001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鑫元基金-鑫安利得51号</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303,735,005.45</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24.18</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ZJQTT202202230001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鑫元基金-鑫安利得59号集合资产管理计划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268,134,380.28</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21.35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22088507</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22盐城城南03</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190,000,000.00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15.13</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22088505</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22江苏洪泽湖02</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13.53</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22088566</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22宜兴城发02</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163,000,000.00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12.98</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22088535</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22宁波象港03</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67,000,000.00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5.33</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ZJQTT202103180001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鹏华基金南华1号集合资产管理计划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45,685,631.63</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3.64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ZJQTT202103180021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华夏基金恒益1号集合资产管理计划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25,312,053.36</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江苏洪泽湖建设投资集团有限公司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22江苏洪泽湖02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110</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宜兴市城市发展投资有限公司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22宜兴城发02</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114</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宁波象港开发控股集团有限公司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22宁波象港03</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116</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盐城市城南新区开发建设投资有限公司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22盐城城南03</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110</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0120020000000799</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南银理财鑫逸稳一年57期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产品应支付关联方托管费63,393.65元，应支付关联方代销费294,818.32元。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02274EC8"/>
    <w:rsid w:val="0E2765B4"/>
    <w:rsid w:val="10BB33AB"/>
    <w:rsid w:val="138B4249"/>
    <w:rsid w:val="1F1A3BC0"/>
    <w:rsid w:val="2651710C"/>
    <w:rsid w:val="2C5F4270"/>
    <w:rsid w:val="341F714B"/>
    <w:rsid w:val="57DD4EC8"/>
    <w:rsid w:val="5CEB1EEF"/>
    <w:rsid w:val="611546EB"/>
    <w:rsid w:val="70CA1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6</Pages>
  <Words>1862</Words>
  <Characters>2348</Characters>
  <Lines>14</Lines>
  <Paragraphs>4</Paragraphs>
  <TotalTime>36</TotalTime>
  <ScaleCrop>false</ScaleCrop>
  <LinksUpToDate>false</LinksUpToDate>
  <CharactersWithSpaces>2377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2023-01-13T10:53:55Z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A2E45BF7259542B8890F66FA14126332</vt:lpwstr>
  </property>
</Properties>
</file>