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南银理财珠联璧合鑫逸稳一年62期封闭式公募人民币理财产品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南银理财珠联璧合鑫逸稳一年62期封闭式公募人民币理财产品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Z7003222000033（投资者可依据该编码在中国理财网www.chinawealth.com.cn查询理财产品相关信息）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2022年06月01日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1,359,393,544.00份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鑫元基金管理有限公司、华夏基金管理有限公司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Y30062</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181,277,058.42</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1.0120</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1.0120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Y31062</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1,195,884,316.77</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1.0132</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1.0132</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展望后市，市场多空因素交织，利率预计维持震荡格局。从利多因素分析来看，第一，为了呵护疫情放开感染高峰时期的基本面以及为开年信贷投放做保障等目的，预计跨年后资金面有望保持平稳偏松；第二，跨年后机构配置需求的自然回归，将对债券资产表现形成支撑。而利空因素则主要为年初信贷开门红、两会前政策发力增长的定调可能会压制机构做多情绪。综合来看，我们倾向于认为年初债市调整风险可控，利率或高等级次级债、信用债等表现或好于中低等级类信用债，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报告期内，本产品以帮客户实现稳定收益为目标，力求产品净值的稳定增长，产品主要投资于定制债券专户及优质非标债权资产，其中专户严把信用风险、注重分散投资、灵活管理久期，非标债权资产严选标的、锁定收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报告期内产品的流</w:t>
      </w:r>
      <w:bookmarkStart w:id="0" w:name="_GoBack"/>
      <w:bookmarkEnd w:id="0"/>
      <w:r>
        <w:rPr>
          <w:rFonts w:hint="eastAsia" w:ascii="方正仿宋_GBK" w:eastAsia="方正仿宋_GBK"/>
          <w:b/>
          <w:sz w:val="24"/>
          <w:szCs w:val="24"/>
        </w:rPr>
        <w:t>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截至报告期末，本产品Y30062份额净值为1.0120元，Y31062份额净值为1.0132元。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0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ZJQTT202202230001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鑫元基金-鑫安利得59号集合资产管理计划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414,848,105.36</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30.12</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ZZGJT202005290001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鑫元基金-鑫安利得51号</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208,803,291.49</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15.16</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22088751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22惠山高科04</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14.52</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22088723</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22西湖城建02</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11.62</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22088711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22淮安交通04</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7.26</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ZJQTT202103180021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华夏基金恒益1号集合资产管理计划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79,280,094.68</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5.76</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22088742</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22广湖建设01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75,000,000.00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5.45</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22088786</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22清浦城投01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67,000,000.00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4.87</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22088859</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22安吉两山01（绿色）</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53,000,000.00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3.85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淮安市交通控股集团有限公司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22淮安交通04</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161</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无锡惠山高科有限公司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22惠山高科04</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168</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浙江安吉两山国有控股集团有限公司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22安吉两山01（绿色）</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181</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江苏广湖建设有限公司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22广湖建设01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172</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杭州西湖城市建设投资集团有限公司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22西湖城建02</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173</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淮安市清江浦融合投资控股集团有限公司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22清浦城投01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175</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0120000000000823</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南银理财鑫逸稳一年62期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产品应支付关联方托管费69,535.44元，应支付关联方代销费281,997.67元。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09623C59"/>
    <w:rsid w:val="0F112FA6"/>
    <w:rsid w:val="138B4249"/>
    <w:rsid w:val="1F1A3BC0"/>
    <w:rsid w:val="21D44A4D"/>
    <w:rsid w:val="2651710C"/>
    <w:rsid w:val="2C5F4270"/>
    <w:rsid w:val="341F714B"/>
    <w:rsid w:val="47EE0BC8"/>
    <w:rsid w:val="57DD4EC8"/>
    <w:rsid w:val="61154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F7D9B9EB.dotm</Template>
  <Company>cc</Company>
  <Pages>7</Pages>
  <Words>1937</Words>
  <Characters>2490</Characters>
  <Lines>14</Lines>
  <Paragraphs>4</Paragraphs>
  <TotalTime>0</TotalTime>
  <ScaleCrop>false</ScaleCrop>
  <LinksUpToDate>false</LinksUpToDate>
  <CharactersWithSpaces>2523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2023-01-13T10:32:49Z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65B57D7BDF384424A76A3B84B5FDE380</vt:lpwstr>
  </property>
</Properties>
</file>