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bookmarkStart w:id="0" w:name="_GoBack"/>
      <w:bookmarkEnd w:id="0"/>
      <w:r>
        <w:rPr>
          <w:rFonts w:hint="eastAsia" w:ascii="微软雅黑" w:hAnsi="微软雅黑" w:eastAsia="宋体" w:cs="宋体"/>
          <w:b/>
          <w:bCs/>
          <w:color w:val="004EA2"/>
          <w:kern w:val="0"/>
          <w:sz w:val="28"/>
          <w:szCs w:val="28"/>
        </w:rPr>
        <w:t>杭银理财丰裕固收22007理财计划C款</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宋体" w:hAnsi="宋体" w:cs="宋体"/>
          <w:sz w:val="28"/>
          <w:szCs w:val="28"/>
        </w:rPr>
      </w:pPr>
      <w:r>
        <w:rPr>
          <w:rFonts w:hint="eastAsia" w:ascii="宋体" w:hAnsi="宋体" w:cs="宋体"/>
          <w:sz w:val="28"/>
          <w:szCs w:val="28"/>
        </w:rPr>
        <w:t>尊敬的投资者：</w:t>
      </w:r>
    </w:p>
    <w:p>
      <w:pPr>
        <w:ind w:firstLine="480"/>
        <w:rPr>
          <w:rFonts w:hint="eastAsia" w:ascii="宋体" w:hAnsi="宋体" w:cs="宋体"/>
          <w:sz w:val="28"/>
          <w:szCs w:val="28"/>
        </w:rPr>
      </w:pPr>
      <w:r>
        <w:rPr>
          <w:rFonts w:hint="eastAsia" w:ascii="宋体" w:hAnsi="宋体" w:cs="宋体"/>
          <w:sz w:val="28"/>
          <w:szCs w:val="28"/>
        </w:rPr>
        <w:t>杭银理财丰裕固收22007理财计划C款</w:t>
      </w:r>
      <w:r>
        <w:rPr>
          <w:sz w:val="28"/>
        </w:rPr>
        <w:t>产品已于2023年2月2日到期终止，现将相关信息公告如下：</w:t>
      </w:r>
    </w:p>
    <w:tbl>
      <w:tblPr>
        <w:tblW w:w="8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产品名称</w:t>
            </w:r>
          </w:p>
        </w:tc>
        <w:tc>
          <w:tcPr>
            <w:tcW w:w="4582" w:type="dxa"/>
            <w:vAlign w:val="center"/>
          </w:tcPr>
          <w:p>
            <w:pPr>
              <w:rPr>
                <w:rFonts w:hint="eastAsia" w:ascii="宋体" w:hAnsi="宋体" w:eastAsia="宋体" w:cs="宋体"/>
                <w:sz w:val="24"/>
              </w:rPr>
            </w:pPr>
            <w:r>
              <w:rPr>
                <w:rFonts w:hint="eastAsia" w:ascii="宋体" w:hAnsi="宋体" w:eastAsia="宋体" w:cs="宋体"/>
                <w:sz w:val="24"/>
              </w:rPr>
              <w:t>杭银理财丰裕固收22007理财计划C款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理财产品代码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FYG22007C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产品登记编码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Z7002222000006</w:t>
            </w:r>
            <w:r>
              <w:rPr>
                <w:rFonts w:ascii="Times New Roman" w:hAnsi="Times New Roman" w:eastAsia="宋体" w:cs="Times New Roman"/>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产品起始日期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2022-01-25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产品终止日期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2023-02-02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产品存续天数</w:t>
            </w:r>
          </w:p>
        </w:tc>
        <w:tc>
          <w:tcPr>
            <w:tcW w:w="4582" w:type="dxa"/>
            <w:vAlign w:val="center"/>
          </w:tcPr>
          <w:p>
            <w:pPr>
              <w:rPr>
                <w:rFonts w:hint="eastAsia" w:ascii="宋体" w:hAnsi="宋体" w:eastAsia="宋体" w:cs="宋体"/>
                <w:sz w:val="24"/>
              </w:rPr>
            </w:pPr>
            <w:r>
              <w:rPr>
                <w:rFonts w:hint="eastAsia" w:ascii="宋体" w:hAnsi="宋体" w:eastAsia="宋体" w:cs="宋体"/>
                <w:sz w:val="24"/>
              </w:rPr>
              <w:t>373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highlight w:val="none"/>
              </w:rPr>
            </w:pPr>
            <w:r>
              <w:rPr>
                <w:rFonts w:hint="eastAsia" w:ascii="宋体" w:hAnsi="宋体" w:eastAsia="宋体" w:cs="宋体"/>
                <w:sz w:val="24"/>
                <w:szCs w:val="22"/>
                <w:highlight w:val="none"/>
              </w:rPr>
              <w:t>产品</w:t>
            </w:r>
            <w:r>
              <w:rPr>
                <w:rFonts w:hint="eastAsia" w:ascii="宋体" w:hAnsi="宋体" w:eastAsia="宋体" w:cs="宋体"/>
                <w:sz w:val="24"/>
                <w:szCs w:val="22"/>
                <w:highlight w:val="none"/>
                <w:lang w:val="en-US" w:eastAsia="zh-CN"/>
              </w:rPr>
              <w:t>累计</w:t>
            </w:r>
            <w:r>
              <w:rPr>
                <w:rFonts w:hint="eastAsia" w:ascii="宋体" w:hAnsi="宋体" w:eastAsia="宋体" w:cs="宋体"/>
                <w:sz w:val="24"/>
                <w:szCs w:val="22"/>
                <w:highlight w:val="none"/>
              </w:rPr>
              <w:t>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宋体" w:hAnsi="宋体" w:eastAsia="宋体" w:cs="宋体"/>
                <w:sz w:val="24"/>
                <w:szCs w:val="22"/>
                <w:highlight w:val="none"/>
                <w:lang w:val="en-US" w:eastAsia="zh-CN"/>
              </w:rPr>
            </w:pPr>
            <w:r>
              <w:rPr>
                <w:rFonts w:hint="eastAsia" w:ascii="宋体" w:hAnsi="宋体" w:eastAsia="宋体" w:cs="宋体"/>
                <w:sz w:val="24"/>
                <w:szCs w:val="22"/>
                <w:highlight w:val="none"/>
              </w:rPr>
              <w:t>产品到期兑付净值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业绩比较基准</w:t>
            </w:r>
          </w:p>
        </w:tc>
        <w:tc>
          <w:tcPr>
            <w:tcW w:w="4582" w:type="dxa"/>
            <w:vAlign w:val="center"/>
          </w:tcPr>
          <w:p>
            <w:pPr>
              <w:rPr>
                <w:rFonts w:hint="eastAsia" w:ascii="宋体" w:hAnsi="宋体" w:eastAsia="宋体" w:cs="宋体"/>
                <w:sz w:val="24"/>
              </w:rPr>
            </w:pPr>
            <w:r>
              <w:rPr>
                <w:rFonts w:hint="eastAsia" w:ascii="宋体" w:hAnsi="宋体" w:eastAsia="宋体" w:cs="宋体"/>
                <w:sz w:val="24"/>
              </w:rPr>
              <w:t>4.25%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折合年化收益率</w:t>
            </w:r>
          </w:p>
        </w:tc>
        <w:tc>
          <w:tcPr>
            <w:tcW w:w="4582" w:type="dxa"/>
            <w:vAlign w:val="center"/>
          </w:tcPr>
          <w:p>
            <w:pPr>
              <w:rPr>
                <w:rFonts w:hint="eastAsia" w:ascii="宋体" w:hAnsi="宋体" w:eastAsia="宋体" w:cs="宋体"/>
                <w:sz w:val="24"/>
              </w:rPr>
            </w:pPr>
            <w:r>
              <w:rPr>
                <w:rFonts w:hint="eastAsia" w:ascii="宋体" w:hAnsi="宋体" w:eastAsia="宋体" w:cs="宋体"/>
                <w:sz w:val="24"/>
              </w:rPr>
              <w:t>3.0335</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固定管理费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销售服务费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0.20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浮动管理费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80.00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托管费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0.025</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其他费用</w:t>
            </w:r>
          </w:p>
        </w:tc>
        <w:tc>
          <w:tcPr>
            <w:tcW w:w="4582" w:type="dxa"/>
            <w:vAlign w:val="center"/>
          </w:tcPr>
          <w:p>
            <w:pPr>
              <w:rPr>
                <w:rFonts w:hint="eastAsia" w:ascii="宋体" w:hAnsi="宋体" w:eastAsia="宋体" w:cs="宋体"/>
                <w:sz w:val="24"/>
              </w:rPr>
            </w:pPr>
            <w:r>
              <w:rPr>
                <w:rFonts w:hint="eastAsia" w:ascii="宋体" w:hAnsi="宋体" w:eastAsia="宋体" w:cs="宋体"/>
                <w:sz w:val="24"/>
              </w:rPr>
              <w:t>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收益分配情况（单位：万元）</w:t>
            </w:r>
          </w:p>
        </w:tc>
        <w:tc>
          <w:tcPr>
            <w:tcW w:w="4582" w:type="dxa"/>
            <w:vAlign w:val="center"/>
          </w:tcPr>
          <w:p>
            <w:pPr>
              <w:rPr>
                <w:rFonts w:hint="eastAsia" w:ascii="宋体" w:hAnsi="宋体" w:eastAsia="宋体" w:cs="宋体"/>
                <w:sz w:val="24"/>
              </w:rPr>
            </w:pPr>
            <w:r>
              <w:rPr>
                <w:rFonts w:hint="eastAsia" w:ascii="宋体" w:hAnsi="宋体" w:eastAsia="宋体" w:cs="宋体"/>
                <w:sz w:val="24"/>
              </w:rPr>
              <w:t>433.83</w:t>
            </w:r>
          </w:p>
        </w:tc>
      </w:tr>
    </w:tbl>
    <w:p>
      <w:pPr>
        <w:rPr>
          <w:rFonts w:hint="eastAsia" w:ascii="宋体" w:hAnsi="宋体" w:eastAsia="宋体" w:cs="宋体"/>
          <w:sz w:val="24"/>
          <w:szCs w:val="22"/>
        </w:rPr>
      </w:pPr>
    </w:p>
    <w:p>
      <w:pPr>
        <w:ind w:firstLine="420" w:firstLineChars="200"/>
        <w:rPr>
          <w:rFonts w:hint="eastAsia" w:ascii="宋体" w:hAnsi="宋体" w:cs="宋体"/>
          <w:sz w:val="28"/>
          <w:szCs w:val="24"/>
        </w:rPr>
      </w:pPr>
      <w:r>
        <w:rPr>
          <w:rFonts w:hint="eastAsia" w:ascii="宋体" w:hAnsi="宋体" w:cs="宋体"/>
          <w:sz w:val="28"/>
          <w:szCs w:val="24"/>
        </w:rPr>
        <w:t>特此公告。</w:t>
      </w:r>
    </w:p>
    <w:p>
      <w:pPr>
        <w:rPr>
          <w:rFonts w:hint="eastAsia" w:ascii="宋体" w:hAnsi="宋体" w:cs="宋体"/>
          <w:sz w:val="24"/>
        </w:rPr>
      </w:pPr>
    </w:p>
    <w:p>
      <w:pPr>
        <w:rPr>
          <w:rFonts w:hint="eastAsia" w:ascii="宋体" w:hAnsi="宋体" w:cs="宋体"/>
          <w:sz w:val="24"/>
        </w:rPr>
      </w:pPr>
      <w:r>
        <w:rPr>
          <w:rFonts w:hint="eastAsia" w:ascii="宋体" w:hAnsi="宋体" w:cs="宋体"/>
          <w:sz w:val="24"/>
        </w:rPr>
        <w:t>注：</w:t>
      </w:r>
    </w:p>
    <w:p>
      <w:pPr>
        <w:numPr>
          <w:ilvl w:val="0"/>
          <w:numId w:val="1"/>
        </w:numPr>
        <w:rPr>
          <w:rFonts w:hint="eastAsia" w:ascii="宋体" w:hAnsi="宋体" w:cs="宋体"/>
          <w:sz w:val="24"/>
        </w:rPr>
      </w:pPr>
      <w:r>
        <w:rPr>
          <w:rFonts w:hint="eastAsia" w:ascii="宋体" w:hAnsi="宋体" w:cs="宋体"/>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宋体" w:hAnsi="宋体" w:cs="宋体"/>
          <w:sz w:val="24"/>
        </w:rPr>
      </w:pPr>
      <w:r>
        <w:rPr>
          <w:rFonts w:hint="eastAsia" w:ascii="宋体" w:hAnsi="宋体" w:cs="宋体"/>
          <w:sz w:val="24"/>
        </w:rPr>
        <w:t>托管费：原则上按日计提，逐日累计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宋体" w:hAnsi="宋体" w:cs="宋体"/>
          <w:sz w:val="24"/>
        </w:rPr>
      </w:pPr>
      <w:r>
        <w:rPr>
          <w:rFonts w:hint="eastAsia" w:ascii="宋体" w:hAnsi="宋体" w:cs="宋体"/>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宋体" w:hAnsi="宋体" w:cs="宋体"/>
          <w:sz w:val="28"/>
          <w:szCs w:val="28"/>
        </w:rPr>
      </w:pPr>
      <w:r>
        <w:rPr>
          <w:rFonts w:hint="eastAsia" w:ascii="宋体" w:hAnsi="宋体" w:cs="宋体"/>
          <w:sz w:val="28"/>
          <w:szCs w:val="28"/>
        </w:rPr>
        <w:t>杭银理财有限责任公司</w:t>
      </w:r>
    </w:p>
    <w:p>
      <w:pPr>
        <w:jc w:val="right"/>
        <w:rPr>
          <w:rFonts w:hint="eastAsia" w:ascii="宋体" w:hAnsi="宋体" w:cs="宋体"/>
          <w:sz w:val="28"/>
          <w:szCs w:val="28"/>
        </w:rPr>
      </w:pPr>
      <w:r>
        <w:rPr>
          <w:rFonts w:hint="eastAsia" w:ascii="宋体" w:hAnsi="宋体" w:cs="宋体"/>
          <w:sz w:val="28"/>
          <w:szCs w:val="28"/>
        </w:rPr>
        <w:t>2023年2月6日</w:t>
      </w:r>
    </w:p>
    <w:sectPr>
      <w:headerReference r:id="rId4" w:type="default"/>
      <w:pgSz w:w="11906" w:h="16838"/>
      <w:pgMar w:top="2551" w:right="1803" w:bottom="2551" w:left="1803" w:header="851" w:footer="992" w:gutter="0"/>
      <w:cols w:space="72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Pr>
    <w:r>
      <w:rPr>
        <w:rFonts w:ascii="Calibri" w:hAnsi="Calibri" w:eastAsia="宋体" w:cs="黑体"/>
        <w:kern w:val="2"/>
        <w:sz w:val="18"/>
        <w:szCs w:val="24"/>
        <w:lang w:val="en-US" w:eastAsia="zh-CN" w:bidi="ar-SA"/>
      </w:rPr>
      <w:pict>
        <v:shape id="WordPictureWatermark140627" o:spid="_x0000_s1025" type="#_x0000_t75" style="position:absolute;left:0;height:840.3pt;width:594pt;mso-position-horizontal:center;mso-position-horizontal-relative:margin;mso-position-vertical:center;mso-position-vertical-relative:margin;rotation:0f;z-index:-251658240;" o:ole="f" fillcolor="#FFFFFF" filled="f" o:preferrelative="t" stroked="f" coordorigin="0,0" coordsize="21600,21600">
          <v:fill on="f" color2="#FFFFFF" focus="0%"/>
          <v:imagedata gain="65536f" blacklevel="0f" gamma="0" o:title="" r:id="rId1"/>
          <o:lock v:ext="edit" position="f" selection="f" grouping="f" rotation="f" cropping="f" text="f"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90213836">
    <w:nsid w:val="1D3811CC"/>
    <w:multiLevelType w:val="multilevel"/>
    <w:tmpl w:val="1D3811CC"/>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4902138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DZlY2ZiYmExOWJmOTY5NWFmNzQwOWFhNmE0ZjgxMTMifQ=="/>
  </w:docVar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spacing w:after="200" w:line="276" w:lineRule="auto"/>
      <w:jc w:val="both"/>
    </w:pPr>
    <w:rPr>
      <w:rFonts w:ascii="Calibri" w:hAnsi="Calibri" w:eastAsia="宋体" w:cs="黑体"/>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8">
    <w:name w:val="Default Paragraph Font"/>
    <w:semiHidden/>
    <w:unhideWhenUsed/>
    <w:qFormat/>
    <w:uiPriority w:val="1"/>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0</TotalTime>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hccb</cp:lastModifiedBy>
  <dcterms:modified xsi:type="dcterms:W3CDTF">2023-02-07T01:01:09Z</dcterms:modified>
  <dc:title>杭银理财丰裕固收22007理财计划C款</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2052-9.1.0.4688</vt:lpwstr>
  </property>
</Properties>
</file>