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南银理财珠联璧合鑫逸稳增强两年19期封闭式公募人民币理财产品</w:t>
      </w: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2022年第4季度报告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产品管理人:南银理财有限责任公司</w:t>
      </w: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_GBK" w:eastAsia="方正仿宋_GBK"/>
          <w:b/>
          <w:sz w:val="24"/>
          <w:szCs w:val="24"/>
        </w:rPr>
      </w:pPr>
      <w:r>
        <w:rPr>
          <w:rFonts w:hint="eastAsia" w:ascii="方正仿宋_GBK" w:hAnsi="Calibri" w:eastAsia="方正仿宋_GBK"/>
          <w:b/>
        </w:rPr>
        <w:t xml:space="preserve">§1 </w:t>
      </w:r>
      <w:r>
        <w:rPr>
          <w:rFonts w:hint="eastAsia" w:ascii="方正仿宋_GBK" w:hAnsi="Calibri" w:eastAsia="方正仿宋_GBK"/>
          <w:b/>
          <w:sz w:val="24"/>
          <w:szCs w:val="24"/>
        </w:rPr>
        <w:t>产品概况</w:t>
      </w:r>
    </w:p>
    <w:tbl>
      <w:tblPr>
        <w:tblStyle w:val="5"/>
        <w:tblpPr w:leftFromText="180" w:rightFromText="180" w:vertAnchor="text" w:tblpY="1"/>
        <w:tblOverlap w:val="never"/>
        <w:tblW w:w="889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719"/>
        <w:gridCol w:w="617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产品全称</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南银理财珠联璧合鑫逸稳增强两年19期封闭式公募人民币理财产品</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产品登记编码</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Z7003222000063（投资者可依据该编码在中国理财网www.chinawealth.com.cn查询理财产品相关信息）</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产品运作方式</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封闭式净值型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产品成立日</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2022年09月14日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报告期末产品份额总额</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357,938,780.00份</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合作机构</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易方达基金管理有限公司、平安资产管理有限责任公司、招商基金管理有限公司、华夏基金管理有限公司、万家基金管理有限公司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产品管理人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南银理财有限责任公司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产品托管人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§2  主要财务指标</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2.1 主要财务指标</w:t>
      </w:r>
    </w:p>
    <w:p>
      <w:pPr>
        <w:spacing w:before="240" w:after="72" w:line="360" w:lineRule="auto"/>
        <w:jc w:val="right"/>
        <w:rPr>
          <w:rFonts w:ascii="方正仿宋_GBK" w:eastAsia="方正仿宋_GBK" w:cs="宋体"/>
          <w:kern w:val="0"/>
          <w:sz w:val="24"/>
          <w:szCs w:val="24"/>
        </w:rPr>
      </w:pPr>
      <w:r>
        <w:rPr>
          <w:rFonts w:hint="eastAsia" w:ascii="方正仿宋_GBK" w:eastAsia="方正仿宋_GBK" w:cs="宋体"/>
          <w:kern w:val="0"/>
          <w:sz w:val="24"/>
          <w:szCs w:val="24"/>
        </w:rPr>
        <w:t>单位：人民币元</w:t>
      </w:r>
    </w:p>
    <w:tbl>
      <w:tblPr>
        <w:tblStyle w:val="5"/>
        <w:tblpPr w:leftFromText="180" w:rightFromText="180" w:vertAnchor="text" w:tblpXSpec="center" w:tblpY="1"/>
        <w:tblOverlap w:val="never"/>
        <w:tblW w:w="906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2693"/>
        <w:gridCol w:w="2410"/>
        <w:gridCol w:w="212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内部销售代码</w:t>
            </w:r>
          </w:p>
        </w:tc>
        <w:tc>
          <w:tcPr>
            <w:tcW w:w="7229" w:type="dxa"/>
            <w:gridSpan w:val="3"/>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报告期（2022年10月01日 - 2022年12月31日）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_GBK" w:hAnsi="仿宋_GB2312" w:eastAsia="方正仿宋_GBK" w:cs="仿宋_GB2312"/>
                <w:sz w:val="24"/>
                <w:szCs w:val="24"/>
              </w:rPr>
            </w:pPr>
          </w:p>
        </w:tc>
        <w:tc>
          <w:tcPr>
            <w:tcW w:w="269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1.期末产品最后一个市场交易日资产净值</w:t>
            </w:r>
          </w:p>
        </w:tc>
        <w:tc>
          <w:tcPr>
            <w:tcW w:w="241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2.期末产品最后一个市场交易日份额净值</w:t>
            </w:r>
          </w:p>
        </w:tc>
        <w:tc>
          <w:tcPr>
            <w:tcW w:w="212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3.期末产品最后一个市场交易日份额累计净值</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Y40019</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188,322,894.07</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0.9948</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0.9948</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Y41019</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167,881,375.32</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0.9954</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0.9954</w:t>
            </w:r>
          </w:p>
        </w:tc>
      </w:tr>
    </w:tbl>
    <w:p>
      <w:pPr>
        <w:pStyle w:val="10"/>
        <w:spacing w:before="240" w:after="72" w:line="360" w:lineRule="auto"/>
        <w:ind w:left="0"/>
        <w:rPr>
          <w:rFonts w:ascii="方正仿宋_GBK" w:eastAsia="方正仿宋_GBK"/>
        </w:rPr>
      </w:pPr>
      <w:r>
        <w:rPr>
          <w:rFonts w:hint="eastAsia" w:ascii="方正仿宋_GBK" w:eastAsia="方正仿宋_GBK" w:hAnsiTheme="minorHAnsi" w:cstheme="minorBidi"/>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§3  管理人报告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3.1 报告期内产品的投资策略和运作分析</w:t>
      </w:r>
    </w:p>
    <w:p>
      <w:pPr>
        <w:spacing w:before="240" w:after="72" w:line="360" w:lineRule="auto"/>
        <w:ind w:firstLine="417"/>
        <w:rPr>
          <w:rFonts w:hint="eastAsia" w:ascii="方正仿宋_GBK" w:eastAsia="方正仿宋_GBK" w:hAnsiTheme="minorHAnsi" w:cstheme="minorBidi"/>
          <w:sz w:val="24"/>
          <w:szCs w:val="24"/>
        </w:rPr>
      </w:pPr>
      <w:r>
        <w:rPr>
          <w:rFonts w:hint="eastAsia" w:ascii="方正仿宋_GBK" w:eastAsia="方正仿宋_GBK" w:hAnsiTheme="minorHAnsi" w:cstheme="minorBidi"/>
          <w:sz w:val="24"/>
          <w:szCs w:val="24"/>
        </w:rPr>
        <w:t>四季度期间，基本面数据维持弱势，国内疫情防控优化伴随冬季疫情高发期，感染人数明显增长，对经济活动形成明显的压制影响，外围方面出口下行压力明显增强。政策层面则继续发力对冲经济下行压力，除了疫情防控动态优化，房地产行业政策频出，“三支箭”显示政策端态度期望行业回归稳健正常运行。</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债券市场方面，重点关注债市赎回压力边际改善下的短端配置价值。随着央行加大公开市场操作呵护资金面，叠加部分银行自营资金承接，债市抛压逐步缓解，跨年前后债市也明显反弹修复。展望后续，经济弱现实的支撑下资金面有望保持宽松，随着理财赎回压力逐步缓解，债券资产有望回归基本面迎来修复，本轮快速调整后信用债性价比明显抬升，尤其是短端品种具有较高配置价值，资金面宽松下套息空间也较为充足，预计中短端高等级信用债表现占优，本产品负债端相对稳定，将择低保持配置，目前固收部分债券的静态估值在4%-4.5%，久期平均控制在1.5年左右，未来债券资产持有到期收益较为可观。</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本产品投资的非标准化债权类资产底层主要为江浙地区优质城投企业。截至2022年末，本产品所投非标准化债权类资产的融资人还本付息情况良好，再融资及各项经营活动正常。受银保监会15号文持续约束，城投平台借款增速同比下降；同时今年以来涉隐债主体基本只允许借新还旧，使得半数以上省份净融资额同比缩量，但宽信用加码仍在稳增长，包括专项债、政策性金融工具等都会带来增量资金。整体来看，当前的资源将继续向优质主体倾斜，平台层级继续提升，各层级平台之间在逐步出现分化，信用利差扩大，而当前城投融资的各路径仍面临限制，借新还旧为主。但相对来说，江浙地区城投公司依然保持稳定，市场化经营业务有利于城投公司获取稳定现金流，提升融资能力。江浙地区的城投公司在基础设施建设业务方面的可持续性较强，信用风险和流动性风险整体可控。本产品投资的非标准化债权类资产以持有至到期为目的，获取稳定投资收益。</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权益方面，2022年压制权益市场的负面因素较多，国内由于疫情防控、房地产调控导致经济衰退，国外通胀高企后流动性超预期收紧，叠加海外地缘冲突等黑天鹅事件频发，权益类资产的全年下跌幅度较大，沪深300指数跌幅达到-22%，该跌幅近十年来仅次于2018年。全年中，基本面的亮点主要集中在新老能源，其中新能源赛道一度受益于复工复产而出现明显股价反弹但全年跌幅依然排名靠前，新半军为代表的赛道成长板块股价受制于持仓拥挤和交易博弈的现象较为普遍，反观煤炭、石油为代表的老能源同时受益于基本面和估值的修复，其他与经济周期相关的下游消费、中游制造在经济下行阶段也难以有明显的超额。权益部分全年仓位偏防守，其中对于基金重仓的消费、新能源板块阶段性规避，对煤炭为代表的周期以及医药、信创等板块择机超配，是全年超额收益的主要来源。四季度特别是11月以来，我们看到疫情防控、房地产调控政策出现了明显的转向，说明国家安全和经济发展是一体两面而非左右互搏，叠加货币、财政政策可以预期的适度放松，而海外的通胀在高位徘徊后出现环比回落，加息收紧的节奏也开始趋缓，整年压制权益市场的负面因素几乎都出现了缓解，同时目前股市估值对应的股债性价比依然处于过去十年80%以上分位数，权益资产具备中长期配置的优势，产品将维持更为积极的权</w:t>
      </w:r>
      <w:bookmarkStart w:id="0" w:name="_GoBack"/>
      <w:bookmarkEnd w:id="0"/>
      <w:r>
        <w:rPr>
          <w:rFonts w:hint="eastAsia" w:ascii="方正仿宋_GBK" w:eastAsia="方正仿宋_GBK" w:hAnsiTheme="minorHAnsi" w:cstheme="minorBidi"/>
          <w:sz w:val="24"/>
          <w:szCs w:val="24"/>
        </w:rPr>
        <w:t>益仓位，以应对经济复苏、流动性宽松的有利宏观组合。</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3.2 报告期内产品的流动性风险分析</w:t>
      </w:r>
    </w:p>
    <w:p>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本产品投资的非标准化债权类资产到期日不晚于产品到期日，债券部分主要投向AA+及以上的优质产业债券和城投债券，权益持仓中维持合理比例高流动性资产，产品整体流动性风险可控。本产品提前做好关键时点资金储备，保障流动性安全，下阶段将继续控制流动性风险。</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3.3 报告期内产品的业绩表现</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截至报告期末，本产品Y40019份额净值为0.9948元，Y41019份额净值为0.9954元。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§4  投资组合报告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4.1 报告期末产品资产组合情况</w:t>
      </w:r>
    </w:p>
    <w:tbl>
      <w:tblPr>
        <w:tblStyle w:val="5"/>
        <w:tblpPr w:leftFromText="180" w:rightFromText="180" w:vertAnchor="text" w:tblpXSpec="center" w:tblpY="1"/>
        <w:tblOverlap w:val="never"/>
        <w:tblW w:w="8895"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859"/>
        <w:gridCol w:w="3002"/>
        <w:gridCol w:w="3289"/>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穿透后占总资产比例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89.93%</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91.09%</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5.29%</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10.07%</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3.62%</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b/>
          <w:sz w:val="24"/>
          <w:szCs w:val="24"/>
        </w:rPr>
      </w:pPr>
      <w:r>
        <w:rPr>
          <w:rFonts w:hint="eastAsia" w:ascii="方正仿宋_GBK" w:eastAsia="方正仿宋_GBK"/>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58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代码</w:t>
            </w:r>
          </w:p>
        </w:tc>
        <w:tc>
          <w:tcPr>
            <w:tcW w:w="271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名称</w:t>
            </w:r>
          </w:p>
        </w:tc>
        <w:tc>
          <w:tcPr>
            <w:tcW w:w="205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公允价值（元）</w:t>
            </w:r>
          </w:p>
        </w:tc>
        <w:tc>
          <w:tcPr>
            <w:tcW w:w="180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占产品资产净值比例（％）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22881209</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22盐城城建15</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150,000,000.00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42.11</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ZJQTT202201040001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万家基金裕顺1号集合资产管理计划</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39,600,194.09</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11.12</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HHQTT202103300001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华夏基金宁益1号集合资产管理计划</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35,915,836.60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10.08</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ZJQTT202210120027</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平安资产创赢1号</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35,018,427.52</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9.83</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ZJQTT202101180001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易方达基金鸿鹤1号集合资产管理计划</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34,471,990.66</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9.68</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ZJQTT202203210001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招商基金-安鑫1号集合资产管理计划</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33,846,539.67</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9.50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22881255</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22盐城城建17</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5.61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_GBK" w:hAnsi="宋体" w:eastAsia="方正仿宋_GBK" w:cs="宋体"/>
          <w:b/>
          <w:sz w:val="24"/>
          <w:szCs w:val="24"/>
          <w:shd w:val="clear" w:color="auto" w:fill="FFFFFF"/>
        </w:rPr>
      </w:pPr>
      <w:r>
        <w:rPr>
          <w:rFonts w:hint="eastAsia" w:ascii="方正仿宋_GBK" w:hAnsi="宋体" w:eastAsia="方正仿宋_GBK" w:cs="宋体"/>
          <w:b/>
          <w:sz w:val="24"/>
          <w:szCs w:val="24"/>
          <w:shd w:val="clear" w:color="auto" w:fill="FFFFFF"/>
        </w:rPr>
        <w:t>4.3报告期末非标准化债权类资产明细</w:t>
      </w:r>
    </w:p>
    <w:tbl>
      <w:tblPr>
        <w:tblStyle w:val="5"/>
        <w:tblpPr w:leftFromText="180" w:rightFromText="180" w:vertAnchor="text" w:tblpXSpec="center" w:tblpY="1"/>
        <w:tblOverlap w:val="never"/>
        <w:tblW w:w="8926"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704"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融资客户</w:t>
            </w:r>
          </w:p>
        </w:tc>
        <w:tc>
          <w:tcPr>
            <w:tcW w:w="127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项目名称</w:t>
            </w:r>
          </w:p>
        </w:tc>
        <w:tc>
          <w:tcPr>
            <w:tcW w:w="154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剩余融资期限（</w:t>
            </w:r>
            <w:r>
              <w:rPr>
                <w:rFonts w:ascii="方正仿宋_GBK" w:hAnsi="仿宋_GB2312" w:eastAsia="方正仿宋_GBK" w:cs="仿宋_GB2312"/>
                <w:sz w:val="24"/>
                <w:szCs w:val="24"/>
              </w:rPr>
              <w:t>天）</w:t>
            </w:r>
          </w:p>
        </w:tc>
        <w:tc>
          <w:tcPr>
            <w:tcW w:w="138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到期收益分配</w:t>
            </w:r>
          </w:p>
        </w:tc>
        <w:tc>
          <w:tcPr>
            <w:tcW w:w="127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交易结构</w:t>
            </w:r>
          </w:p>
        </w:tc>
        <w:tc>
          <w:tcPr>
            <w:tcW w:w="87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风险状况</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盐城市城市建设投资集团有限公司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22盐城城建17</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638</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按年付息，到期还本</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盐城市城市建设投资集团有限公司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22盐城城建15</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630</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按年付息，到期还本</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§5 投资账户信息</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序号</w:t>
            </w:r>
          </w:p>
        </w:tc>
        <w:tc>
          <w:tcPr>
            <w:tcW w:w="1417"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账户类型</w:t>
            </w:r>
          </w:p>
        </w:tc>
        <w:tc>
          <w:tcPr>
            <w:tcW w:w="266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账号</w:t>
            </w:r>
          </w:p>
        </w:tc>
        <w:tc>
          <w:tcPr>
            <w:tcW w:w="1983"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账户名称</w:t>
            </w:r>
          </w:p>
        </w:tc>
        <w:tc>
          <w:tcPr>
            <w:tcW w:w="198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开户单位</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1</w:t>
            </w:r>
          </w:p>
        </w:tc>
        <w:tc>
          <w:tcPr>
            <w:tcW w:w="1417"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托管账户</w:t>
            </w:r>
          </w:p>
        </w:tc>
        <w:tc>
          <w:tcPr>
            <w:tcW w:w="266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0120070000000909</w:t>
            </w:r>
          </w:p>
        </w:tc>
        <w:tc>
          <w:tcPr>
            <w:tcW w:w="1983"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南银理财鑫逸稳增强两年19期</w:t>
            </w:r>
          </w:p>
        </w:tc>
        <w:tc>
          <w:tcPr>
            <w:tcW w:w="198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南京银行</w:t>
            </w:r>
          </w:p>
        </w:tc>
      </w:tr>
    </w:tbl>
    <w:p>
      <w:pPr>
        <w:spacing w:after="0"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§6 关联交易情况</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报告期内，产品投资于关联方发行的证券、关联方作为融资人的非标准化债权类资产业务交易金额0.00元。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产品投资于关联方承销的证券交易金额0.00元。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产品与关联方作为交易对手开展的投融资业务交易金额0.00元。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产品投资关联方作为管理人的资产管理产品交易金额0.00元。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产品应支付关联方托管费18,007.81元，应支付关联方代销费31,070.57元。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产品发生其他关联交易金额0.00元。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_GBK" w:hAnsi="Calibri" w:eastAsia="方正仿宋_GBK"/>
          <w:b/>
          <w:sz w:val="24"/>
          <w:szCs w:val="24"/>
        </w:rPr>
      </w:pPr>
      <w:r>
        <w:rPr>
          <w:rFonts w:hint="eastAsia" w:ascii="方正仿宋_GBK" w:hAnsi="Calibri" w:eastAsia="方正仿宋_GBK"/>
          <w:b/>
          <w:sz w:val="24"/>
          <w:szCs w:val="24"/>
        </w:rPr>
        <w:t>南银理财有限责任公司</w:t>
      </w:r>
    </w:p>
    <w:p>
      <w:pPr>
        <w:spacing w:before="240" w:after="72" w:line="360" w:lineRule="auto"/>
        <w:jc w:val="right"/>
        <w:rPr>
          <w:rFonts w:ascii="方正仿宋_GBK" w:eastAsia="方正仿宋_GBK"/>
          <w:b/>
          <w:sz w:val="24"/>
          <w:szCs w:val="24"/>
        </w:rPr>
      </w:pPr>
      <w:r>
        <w:rPr>
          <w:rFonts w:hint="eastAsia" w:ascii="方正仿宋_GBK" w:eastAsia="方正仿宋_GBK"/>
          <w:b/>
          <w:sz w:val="24"/>
          <w:szCs w:val="24"/>
        </w:rPr>
        <w:t>2022年12月31日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72C9"/>
    <w:rsid w:val="00B146F0"/>
    <w:rsid w:val="00B23FA8"/>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14418"/>
    <w:rsid w:val="00C62A28"/>
    <w:rsid w:val="00CA36B2"/>
    <w:rsid w:val="00CA4B23"/>
    <w:rsid w:val="00CB67FC"/>
    <w:rsid w:val="00CC703B"/>
    <w:rsid w:val="00CF49CF"/>
    <w:rsid w:val="00D0321E"/>
    <w:rsid w:val="00D1704F"/>
    <w:rsid w:val="00D22C40"/>
    <w:rsid w:val="00D35825"/>
    <w:rsid w:val="00D46EBF"/>
    <w:rsid w:val="00D61130"/>
    <w:rsid w:val="00D873B3"/>
    <w:rsid w:val="00DA576C"/>
    <w:rsid w:val="00DA57F4"/>
    <w:rsid w:val="00DB4AFE"/>
    <w:rsid w:val="00DD60D3"/>
    <w:rsid w:val="00DE6F49"/>
    <w:rsid w:val="00E07C77"/>
    <w:rsid w:val="00E2696A"/>
    <w:rsid w:val="00E41BB2"/>
    <w:rsid w:val="00E463CC"/>
    <w:rsid w:val="00E60602"/>
    <w:rsid w:val="00E66EA9"/>
    <w:rsid w:val="00E76CD6"/>
    <w:rsid w:val="00EA36AD"/>
    <w:rsid w:val="00EB538F"/>
    <w:rsid w:val="00EB5E48"/>
    <w:rsid w:val="00EB6923"/>
    <w:rsid w:val="00EF160C"/>
    <w:rsid w:val="00EF651B"/>
    <w:rsid w:val="00F02F01"/>
    <w:rsid w:val="00F11AF8"/>
    <w:rsid w:val="00F12482"/>
    <w:rsid w:val="00F35159"/>
    <w:rsid w:val="00F4518F"/>
    <w:rsid w:val="00F62D3E"/>
    <w:rsid w:val="00F81FB3"/>
    <w:rsid w:val="00F91E69"/>
    <w:rsid w:val="00F95842"/>
    <w:rsid w:val="00FA4B34"/>
    <w:rsid w:val="00FD3F28"/>
    <w:rsid w:val="00FD4626"/>
    <w:rsid w:val="09E123A4"/>
    <w:rsid w:val="138B4249"/>
    <w:rsid w:val="1F1A3BC0"/>
    <w:rsid w:val="2651710C"/>
    <w:rsid w:val="2C5F4270"/>
    <w:rsid w:val="2D8C690D"/>
    <w:rsid w:val="341F714B"/>
    <w:rsid w:val="344F5535"/>
    <w:rsid w:val="45D068CB"/>
    <w:rsid w:val="57DD4EC8"/>
    <w:rsid w:val="61154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30"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F7D9B9EB.dotm</Template>
  <Company>cc</Company>
  <Pages>7</Pages>
  <Words>2603</Words>
  <Characters>3105</Characters>
  <Lines>14</Lines>
  <Paragraphs>4</Paragraphs>
  <TotalTime>0</TotalTime>
  <ScaleCrop>false</ScaleCrop>
  <LinksUpToDate>false</LinksUpToDate>
  <CharactersWithSpaces>3142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2022-08-03T07:42:00Z</dcterms:created>
  <dc:creator>演示人</dc:creator>
  <cp:lastModifiedBy>笨</cp:lastModifiedBy>
  <dcterms:modified xsi:type="dcterms:W3CDTF">2023-01-13T10:39:41Z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65B57D7BDF384424A76A3B84B5FDE380</vt:lpwstr>
  </property>
</Properties>
</file>