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Default="007816A9" w:rsidP="00675A8D">
      <w:pPr>
        <w:snapToGrid w:val="0"/>
        <w:spacing w:before="240" w:after="72" w:line="360" w:lineRule="auto"/>
        <w:jc w:val="center"/>
        <w:rPr>
          <w:rFonts w:ascii="方正黑体_GBK" w:eastAsia="方正黑体_GBK"/>
          <w:sz w:val="36"/>
          <w:szCs w:val="36"/>
        </w:rPr>
      </w:pPr>
      <w:proofErr w:type="gramStart"/>
      <w:r>
        <w:rPr>
          <w:rFonts w:ascii="方正黑体_GBK" w:eastAsia="方正黑体_GBK" w:hint="eastAsia"/>
          <w:sz w:val="36"/>
          <w:szCs w:val="36"/>
        </w:rPr>
        <w:t>南银理财</w:t>
      </w:r>
      <w:proofErr w:type="gramEnd"/>
      <w:r>
        <w:rPr>
          <w:rFonts w:ascii="方正黑体_GBK" w:eastAsia="方正黑体_GBK" w:hint="eastAsia"/>
          <w:sz w:val="36"/>
          <w:szCs w:val="36"/>
        </w:rPr>
        <w:t>珠联璧合</w:t>
      </w:r>
      <w:proofErr w:type="gramStart"/>
      <w:r>
        <w:rPr>
          <w:rFonts w:ascii="方正黑体_GBK" w:eastAsia="方正黑体_GBK" w:hint="eastAsia"/>
          <w:sz w:val="36"/>
          <w:szCs w:val="36"/>
        </w:rPr>
        <w:t>鑫逸稳增强</w:t>
      </w:r>
      <w:proofErr w:type="gramEnd"/>
      <w:r>
        <w:rPr>
          <w:rFonts w:ascii="方正黑体_GBK" w:eastAsia="方正黑体_GBK" w:hint="eastAsia"/>
          <w:sz w:val="36"/>
          <w:szCs w:val="36"/>
        </w:rPr>
        <w:t>两年9期封闭式公募人民币理财产品</w:t>
      </w:r>
    </w:p>
    <w:p w:rsidR="00B31DA4" w:rsidRPr="0068509B" w:rsidRDefault="007816A9" w:rsidP="00675A8D">
      <w:pPr>
        <w:snapToGrid w:val="0"/>
        <w:spacing w:before="240" w:after="72" w:line="360" w:lineRule="auto"/>
        <w:jc w:val="center"/>
        <w:rPr>
          <w:rFonts w:ascii="方正黑体_GBK" w:eastAsia="方正黑体_GBK"/>
          <w:sz w:val="36"/>
          <w:szCs w:val="36"/>
        </w:rPr>
      </w:pPr>
      <w:r w:rsidRPr="0068509B">
        <w:rPr>
          <w:rFonts w:ascii="方正黑体_GBK" w:eastAsia="方正黑体_GBK" w:hint="eastAsia"/>
          <w:sz w:val="36"/>
          <w:szCs w:val="36"/>
        </w:rPr>
        <w:t>2022年第4季度报告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产品管理人:</w:t>
      </w:r>
      <w:proofErr w:type="gramStart"/>
      <w:r>
        <w:rPr>
          <w:rFonts w:ascii="方正仿宋_GBK" w:eastAsia="方正仿宋_GBK" w:hint="eastAsia"/>
          <w:b/>
          <w:sz w:val="24"/>
          <w:szCs w:val="24"/>
        </w:rPr>
        <w:t>南银理财</w:t>
      </w:r>
      <w:proofErr w:type="gramEnd"/>
      <w:r>
        <w:rPr>
          <w:rFonts w:ascii="方正仿宋_GBK" w:eastAsia="方正仿宋_GBK" w:hint="eastAsia"/>
          <w:b/>
          <w:sz w:val="24"/>
          <w:szCs w:val="24"/>
        </w:rPr>
        <w:t>有限责任公司</w:t>
      </w: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31DA4" w:rsidRPr="00676EE8"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rPr>
        <w:lastRenderedPageBreak/>
        <w:t xml:space="preserve">§1 </w:t>
      </w:r>
      <w:r>
        <w:rPr>
          <w:rFonts w:ascii="方正仿宋_GBK" w:eastAsia="方正仿宋_GBK" w:hAnsi="Calibri" w:hint="eastAsia"/>
          <w:b/>
          <w:sz w:val="24"/>
          <w:szCs w:val="24"/>
        </w:rPr>
        <w:t>产品概况</w:t>
      </w:r>
    </w:p>
    <w:tbl>
      <w:tblPr>
        <w:tblpPr w:leftFromText="180" w:rightFromText="180" w:vertAnchor="text" w:tblpXSpec="center" w:tblpY="1"/>
        <w:tblOverlap w:val="never"/>
        <w:tblW w:w="889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2719"/>
        <w:gridCol w:w="6178"/>
      </w:tblGrid>
      <w:tr w:rsidR="00B31DA4" w:rsidTr="0081224B">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产品全称</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珠联璧合</w:t>
            </w:r>
            <w:proofErr w:type="gramStart"/>
            <w:r>
              <w:rPr>
                <w:rFonts w:ascii="方正仿宋_GBK" w:eastAsia="方正仿宋_GBK" w:hAnsi="仿宋_GB2312" w:cs="仿宋_GB2312" w:hint="eastAsia"/>
                <w:sz w:val="24"/>
                <w:szCs w:val="24"/>
              </w:rPr>
              <w:t>鑫逸稳增强</w:t>
            </w:r>
            <w:proofErr w:type="gramEnd"/>
            <w:r>
              <w:rPr>
                <w:rFonts w:ascii="方正仿宋_GBK" w:eastAsia="方正仿宋_GBK" w:hAnsi="仿宋_GB2312" w:cs="仿宋_GB2312" w:hint="eastAsia"/>
                <w:sz w:val="24"/>
                <w:szCs w:val="24"/>
              </w:rPr>
              <w:t>两年9期封闭式公募人民币理财产品</w:t>
            </w:r>
          </w:p>
        </w:tc>
      </w:tr>
      <w:tr w:rsidR="00B31DA4" w:rsidTr="0081224B">
        <w:trPr>
          <w:trHeight w:val="1300"/>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产品登记编码</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Z7003222000010（投资者可依据该编码在中国</w:t>
            </w:r>
            <w:proofErr w:type="gramStart"/>
            <w:r>
              <w:rPr>
                <w:rFonts w:ascii="方正仿宋_GBK" w:eastAsia="方正仿宋_GBK" w:hAnsi="仿宋_GB2312" w:cs="仿宋_GB2312" w:hint="eastAsia"/>
                <w:sz w:val="24"/>
                <w:szCs w:val="24"/>
              </w:rPr>
              <w:t>理财网</w:t>
            </w:r>
            <w:proofErr w:type="gramEnd"/>
            <w:r>
              <w:rPr>
                <w:rFonts w:ascii="方正仿宋_GBK" w:eastAsia="方正仿宋_GBK" w:hAnsi="仿宋_GB2312" w:cs="仿宋_GB2312" w:hint="eastAsia"/>
                <w:sz w:val="24"/>
                <w:szCs w:val="24"/>
              </w:rPr>
              <w:t>www.chinawealth.com.cn查询理财产品相关信息）</w:t>
            </w:r>
          </w:p>
        </w:tc>
      </w:tr>
      <w:tr w:rsidR="00B31DA4" w:rsidTr="0081224B">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产品运作方式</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封闭式净值型</w:t>
            </w:r>
          </w:p>
        </w:tc>
      </w:tr>
      <w:tr w:rsidR="00B31DA4" w:rsidTr="0081224B">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产品成立日</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2022年01月26日</w:t>
            </w:r>
          </w:p>
        </w:tc>
      </w:tr>
      <w:tr w:rsidR="00B31DA4" w:rsidTr="0081224B">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报告期末产品份额总额</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115,927,550.00份</w:t>
            </w:r>
          </w:p>
        </w:tc>
      </w:tr>
      <w:tr w:rsidR="00B31DA4" w:rsidTr="0081224B">
        <w:trPr>
          <w:trHeight w:val="688"/>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合作机构</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华夏基金管理有限公司、</w:t>
            </w:r>
            <w:proofErr w:type="gramStart"/>
            <w:r>
              <w:rPr>
                <w:rFonts w:ascii="方正仿宋_GBK" w:eastAsia="方正仿宋_GBK" w:hAnsi="仿宋_GB2312" w:cs="仿宋_GB2312" w:hint="eastAsia"/>
                <w:sz w:val="24"/>
                <w:szCs w:val="24"/>
              </w:rPr>
              <w:t>鑫元基金</w:t>
            </w:r>
            <w:proofErr w:type="gramEnd"/>
            <w:r>
              <w:rPr>
                <w:rFonts w:ascii="方正仿宋_GBK" w:eastAsia="方正仿宋_GBK" w:hAnsi="仿宋_GB2312" w:cs="仿宋_GB2312" w:hint="eastAsia"/>
                <w:sz w:val="24"/>
                <w:szCs w:val="24"/>
              </w:rPr>
              <w:t>管理有限公司</w:t>
            </w:r>
          </w:p>
        </w:tc>
      </w:tr>
      <w:tr w:rsidR="00B31DA4" w:rsidTr="0081224B">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产品管理人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有限责任公司</w:t>
            </w:r>
          </w:p>
        </w:tc>
      </w:tr>
      <w:tr w:rsidR="00B31DA4" w:rsidTr="0081224B">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产品托管人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§2  主要财务指标</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2.1 主要财务指标</w:t>
      </w:r>
    </w:p>
    <w:p w:rsidR="00B31DA4" w:rsidRDefault="007816A9" w:rsidP="00675A8D">
      <w:pPr>
        <w:spacing w:before="240" w:after="72" w:line="360" w:lineRule="auto"/>
        <w:jc w:val="right"/>
        <w:rPr>
          <w:rFonts w:ascii="方正仿宋_GBK" w:eastAsia="方正仿宋_GBK" w:cs="宋体"/>
          <w:kern w:val="0"/>
          <w:sz w:val="24"/>
          <w:szCs w:val="24"/>
        </w:rPr>
      </w:pPr>
      <w:r>
        <w:rPr>
          <w:rFonts w:ascii="方正仿宋_GBK" w:eastAsia="方正仿宋_GBK" w:cs="宋体" w:hint="eastAsia"/>
          <w:kern w:val="0"/>
          <w:sz w:val="24"/>
          <w:szCs w:val="24"/>
        </w:rPr>
        <w:t>单位：人民币元</w:t>
      </w:r>
    </w:p>
    <w:tbl>
      <w:tblPr>
        <w:tblpPr w:leftFromText="180" w:rightFromText="180" w:vertAnchor="text" w:tblpXSpec="center" w:tblpY="1"/>
        <w:tblOverlap w:val="never"/>
        <w:tblW w:w="906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1838"/>
        <w:gridCol w:w="2693"/>
        <w:gridCol w:w="2410"/>
        <w:gridCol w:w="2126"/>
      </w:tblGrid>
      <w:tr w:rsidR="00B31DA4" w:rsidTr="00E2696A">
        <w:trPr>
          <w:trHeight w:val="699"/>
          <w:jc w:val="center"/>
        </w:trPr>
        <w:tc>
          <w:tcPr>
            <w:tcW w:w="1838" w:type="dxa"/>
            <w:vMerge w:val="restart"/>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内部销售代码</w:t>
            </w:r>
          </w:p>
        </w:tc>
        <w:tc>
          <w:tcPr>
            <w:tcW w:w="7229" w:type="dxa"/>
            <w:gridSpan w:val="3"/>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报告期（2022年10月01日 - 2022年12月31日）</w:t>
            </w:r>
          </w:p>
        </w:tc>
      </w:tr>
      <w:tr w:rsidR="00B31DA4" w:rsidTr="00E2696A">
        <w:trPr>
          <w:trHeight w:val="1697"/>
          <w:jc w:val="center"/>
        </w:trPr>
        <w:tc>
          <w:tcPr>
            <w:tcW w:w="1838" w:type="dxa"/>
            <w:vMerge/>
            <w:vAlign w:val="center"/>
          </w:tcPr>
          <w:p w:rsidR="00B31DA4" w:rsidRDefault="00B31DA4" w:rsidP="0031044B">
            <w:pPr>
              <w:spacing w:beforeLines="20" w:before="48" w:afterLines="20" w:after="48"/>
              <w:jc w:val="center"/>
              <w:rPr>
                <w:rFonts w:ascii="方正仿宋_GBK" w:eastAsia="方正仿宋_GBK" w:hAnsi="仿宋_GB2312" w:cs="仿宋_GB2312"/>
                <w:sz w:val="24"/>
                <w:szCs w:val="24"/>
              </w:rPr>
            </w:pPr>
          </w:p>
        </w:tc>
        <w:tc>
          <w:tcPr>
            <w:tcW w:w="269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1.期末产品最后一个市场交易</w:t>
            </w:r>
            <w:proofErr w:type="gramStart"/>
            <w:r>
              <w:rPr>
                <w:rFonts w:ascii="方正仿宋_GBK" w:eastAsia="方正仿宋_GBK" w:hAnsi="仿宋_GB2312" w:cs="仿宋_GB2312" w:hint="eastAsia"/>
                <w:sz w:val="24"/>
                <w:szCs w:val="24"/>
              </w:rPr>
              <w:t>日资产</w:t>
            </w:r>
            <w:proofErr w:type="gramEnd"/>
            <w:r>
              <w:rPr>
                <w:rFonts w:ascii="方正仿宋_GBK" w:eastAsia="方正仿宋_GBK" w:hAnsi="仿宋_GB2312" w:cs="仿宋_GB2312" w:hint="eastAsia"/>
                <w:sz w:val="24"/>
                <w:szCs w:val="24"/>
              </w:rPr>
              <w:t>净值</w:t>
            </w:r>
          </w:p>
        </w:tc>
        <w:tc>
          <w:tcPr>
            <w:tcW w:w="241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2.期末产品最后一个市场交易日份额净值</w:t>
            </w:r>
          </w:p>
        </w:tc>
        <w:tc>
          <w:tcPr>
            <w:tcW w:w="212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3.期末产品最后一个市场交易日份额累计净值</w:t>
            </w:r>
          </w:p>
        </w:tc>
      </w:tr>
      <w:tr w:rsidR="00C87B4A">
        <w:trPr>
          <w:trHeight w:val="565"/>
          <w:jc w:val="center"/>
        </w:trPr>
        <w:tc>
          <w:tcPr>
            <w:tcW w:w="1838"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Y40009</w:t>
            </w:r>
          </w:p>
        </w:tc>
        <w:tc>
          <w:tcPr>
            <w:tcW w:w="2693"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118,521,639.40</w:t>
            </w:r>
          </w:p>
        </w:tc>
        <w:tc>
          <w:tcPr>
            <w:tcW w:w="2410"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1.0223</w:t>
            </w:r>
          </w:p>
        </w:tc>
        <w:tc>
          <w:tcPr>
            <w:tcW w:w="2126"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1.0223</w:t>
            </w:r>
          </w:p>
        </w:tc>
      </w:tr>
    </w:tbl>
    <w:p w:rsidR="00B31DA4" w:rsidRDefault="007816A9" w:rsidP="00675A8D">
      <w:pPr>
        <w:pStyle w:val="biaogeleft"/>
        <w:spacing w:before="240" w:after="72" w:line="360" w:lineRule="auto"/>
        <w:ind w:left="0"/>
        <w:rPr>
          <w:rFonts w:ascii="方正仿宋_GBK" w:eastAsia="方正仿宋_GBK"/>
        </w:rPr>
      </w:pPr>
      <w:r>
        <w:rPr>
          <w:rFonts w:ascii="方正仿宋_GBK" w:eastAsia="方正仿宋_GBK" w:hAnsiTheme="minorHAnsi" w:cstheme="minorBidi" w:hint="eastAsia"/>
          <w:kern w:val="2"/>
        </w:rPr>
        <w:lastRenderedPageBreak/>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§3  管理人报告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3.1 报告期内产品的投资策略和运作分析</w:t>
      </w:r>
    </w:p>
    <w:p w:rsidR="00B31DA4" w:rsidRDefault="007816A9" w:rsidP="00675A8D">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 </w:t>
      </w:r>
      <w:r>
        <w:rPr>
          <w:rFonts w:ascii="方正仿宋_GBK" w:eastAsia="方正仿宋_GBK" w:hAnsiTheme="minorHAnsi" w:cstheme="minorBidi" w:hint="eastAsia"/>
          <w:sz w:val="24"/>
          <w:szCs w:val="24"/>
        </w:rPr>
        <w:t xml:space="preserve">   四季度期间，基本面数据维持弱势，国内疫情防控优化伴随冬季疫情高发期，感染人数明显增长，对经济活动形成明显的压制影响，外围方面出口下行压力明显增强。政策层面则继续发力对</w:t>
      </w:r>
      <w:proofErr w:type="gramStart"/>
      <w:r>
        <w:rPr>
          <w:rFonts w:ascii="方正仿宋_GBK" w:eastAsia="方正仿宋_GBK" w:hAnsiTheme="minorHAnsi" w:cstheme="minorBidi" w:hint="eastAsia"/>
          <w:sz w:val="24"/>
          <w:szCs w:val="24"/>
        </w:rPr>
        <w:t>冲经济</w:t>
      </w:r>
      <w:proofErr w:type="gramEnd"/>
      <w:r>
        <w:rPr>
          <w:rFonts w:ascii="方正仿宋_GBK" w:eastAsia="方正仿宋_GBK" w:hAnsiTheme="minorHAnsi" w:cstheme="minorBidi" w:hint="eastAsia"/>
          <w:sz w:val="24"/>
          <w:szCs w:val="24"/>
        </w:rPr>
        <w:t>下行压力，除了疫情防控动态优化，房地产行业政策频出，“三支箭”显示政策</w:t>
      </w:r>
      <w:proofErr w:type="gramStart"/>
      <w:r>
        <w:rPr>
          <w:rFonts w:ascii="方正仿宋_GBK" w:eastAsia="方正仿宋_GBK" w:hAnsiTheme="minorHAnsi" w:cstheme="minorBidi" w:hint="eastAsia"/>
          <w:sz w:val="24"/>
          <w:szCs w:val="24"/>
        </w:rPr>
        <w:t>端态度</w:t>
      </w:r>
      <w:proofErr w:type="gramEnd"/>
      <w:r>
        <w:rPr>
          <w:rFonts w:ascii="方正仿宋_GBK" w:eastAsia="方正仿宋_GBK" w:hAnsiTheme="minorHAnsi" w:cstheme="minorBidi" w:hint="eastAsia"/>
          <w:sz w:val="24"/>
          <w:szCs w:val="24"/>
        </w:rPr>
        <w:t>期望行业回归稳健正常运行。</w:t>
      </w:r>
      <w:r>
        <w:rPr>
          <w:rFonts w:ascii="方正仿宋_GBK" w:eastAsia="方正仿宋_GBK" w:hAnsiTheme="minorHAnsi" w:cstheme="minorBidi" w:hint="eastAsia"/>
          <w:sz w:val="24"/>
          <w:szCs w:val="24"/>
        </w:rPr>
        <w:br w:type="textWrapping" w:clear="all"/>
        <w:t xml:space="preserve">    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往后看，市场多空因素交织，利率预计维持震荡格局。从利多因素分析来看，第一，为了呵护疫情放开感染高峰时期的基本面以及为开年信贷投放</w:t>
      </w:r>
      <w:proofErr w:type="gramStart"/>
      <w:r>
        <w:rPr>
          <w:rFonts w:ascii="方正仿宋_GBK" w:eastAsia="方正仿宋_GBK" w:hAnsiTheme="minorHAnsi" w:cstheme="minorBidi" w:hint="eastAsia"/>
          <w:sz w:val="24"/>
          <w:szCs w:val="24"/>
        </w:rPr>
        <w:t>做保</w:t>
      </w:r>
      <w:proofErr w:type="gramEnd"/>
      <w:r>
        <w:rPr>
          <w:rFonts w:ascii="方正仿宋_GBK" w:eastAsia="方正仿宋_GBK" w:hAnsiTheme="minorHAnsi" w:cstheme="minorBidi" w:hint="eastAsia"/>
          <w:sz w:val="24"/>
          <w:szCs w:val="24"/>
        </w:rPr>
        <w:t>障等目的，预计跨年后资金面有望保持平稳偏松；第二，跨年后机构配置需求的自然回归，将对债券资产表现形成支撑。而利空因素则主要为年初信贷开门红、两会前政策发力增长的定调可能会压制机构做多情绪。结合来看，倾向于认为年初债市调整风险可控，利率或高等级次级债、信用债等表现或好于中低等级类信用债。我们会持续关注</w:t>
      </w:r>
      <w:proofErr w:type="gramStart"/>
      <w:r>
        <w:rPr>
          <w:rFonts w:ascii="方正仿宋_GBK" w:eastAsia="方正仿宋_GBK" w:hAnsiTheme="minorHAnsi" w:cstheme="minorBidi" w:hint="eastAsia"/>
          <w:sz w:val="24"/>
          <w:szCs w:val="24"/>
        </w:rPr>
        <w:t>国内宽</w:t>
      </w:r>
      <w:proofErr w:type="gramEnd"/>
      <w:r>
        <w:rPr>
          <w:rFonts w:ascii="方正仿宋_GBK" w:eastAsia="方正仿宋_GBK" w:hAnsiTheme="minorHAnsi" w:cstheme="minorBidi" w:hint="eastAsia"/>
          <w:sz w:val="24"/>
          <w:szCs w:val="24"/>
        </w:rPr>
        <w:t>信用效果、外部出口压力等数据及两会前后政策层面的变化。</w:t>
      </w:r>
      <w:r>
        <w:rPr>
          <w:rFonts w:ascii="方正仿宋_GBK" w:eastAsia="方正仿宋_GBK" w:hAnsiTheme="minorHAnsi" w:cstheme="minorBidi" w:hint="eastAsia"/>
          <w:sz w:val="24"/>
          <w:szCs w:val="24"/>
        </w:rPr>
        <w:br w:type="textWrapping" w:clear="all"/>
        <w:t xml:space="preserve">    本产品投资的非标准化债权类资产底层主要为江浙地区优质城投企业。截至2022</w:t>
      </w:r>
      <w:r>
        <w:rPr>
          <w:rFonts w:ascii="方正仿宋_GBK" w:eastAsia="方正仿宋_GBK" w:hAnsiTheme="minorHAnsi" w:cstheme="minorBidi" w:hint="eastAsia"/>
          <w:sz w:val="24"/>
          <w:szCs w:val="24"/>
        </w:rPr>
        <w:lastRenderedPageBreak/>
        <w:t>年末，本产品所投非标准化债权类资产的融资人还本付息情况良好，再融资及各项经营活动正常。受银保监会15号</w:t>
      </w:r>
      <w:proofErr w:type="gramStart"/>
      <w:r>
        <w:rPr>
          <w:rFonts w:ascii="方正仿宋_GBK" w:eastAsia="方正仿宋_GBK" w:hAnsiTheme="minorHAnsi" w:cstheme="minorBidi" w:hint="eastAsia"/>
          <w:sz w:val="24"/>
          <w:szCs w:val="24"/>
        </w:rPr>
        <w:t>文持续</w:t>
      </w:r>
      <w:proofErr w:type="gramEnd"/>
      <w:r>
        <w:rPr>
          <w:rFonts w:ascii="方正仿宋_GBK" w:eastAsia="方正仿宋_GBK" w:hAnsiTheme="minorHAnsi" w:cstheme="minorBidi" w:hint="eastAsia"/>
          <w:sz w:val="24"/>
          <w:szCs w:val="24"/>
        </w:rPr>
        <w:t>约束，城投平台借款增速同比下降；同时今年</w:t>
      </w:r>
      <w:proofErr w:type="gramStart"/>
      <w:r>
        <w:rPr>
          <w:rFonts w:ascii="方正仿宋_GBK" w:eastAsia="方正仿宋_GBK" w:hAnsiTheme="minorHAnsi" w:cstheme="minorBidi" w:hint="eastAsia"/>
          <w:sz w:val="24"/>
          <w:szCs w:val="24"/>
        </w:rPr>
        <w:t>以来涉隐债主</w:t>
      </w:r>
      <w:proofErr w:type="gramEnd"/>
      <w:r>
        <w:rPr>
          <w:rFonts w:ascii="方正仿宋_GBK" w:eastAsia="方正仿宋_GBK" w:hAnsiTheme="minorHAnsi" w:cstheme="minorBidi" w:hint="eastAsia"/>
          <w:sz w:val="24"/>
          <w:szCs w:val="24"/>
        </w:rPr>
        <w:t>体基本只允许借新还旧，使得半数以上省份净融资额同比缩量，</w:t>
      </w:r>
      <w:proofErr w:type="gramStart"/>
      <w:r>
        <w:rPr>
          <w:rFonts w:ascii="方正仿宋_GBK" w:eastAsia="方正仿宋_GBK" w:hAnsiTheme="minorHAnsi" w:cstheme="minorBidi" w:hint="eastAsia"/>
          <w:sz w:val="24"/>
          <w:szCs w:val="24"/>
        </w:rPr>
        <w:t>但宽信用</w:t>
      </w:r>
      <w:proofErr w:type="gramEnd"/>
      <w:r>
        <w:rPr>
          <w:rFonts w:ascii="方正仿宋_GBK" w:eastAsia="方正仿宋_GBK" w:hAnsiTheme="minorHAnsi" w:cstheme="minorBidi" w:hint="eastAsia"/>
          <w:sz w:val="24"/>
          <w:szCs w:val="24"/>
        </w:rPr>
        <w:t>加码仍在稳增长，包括专项债、政策性金融工具等都会带来增量资金。整体来看，当前的资源将继续向优质主体倾斜，平台层级继续提升，各层级平台之间在逐步出现分化，信用利差扩大，而当前城投融资的各路径仍面临限制，借新还旧为主。但相对来说，江浙地区城投公司依然保持稳定，市场化经营业务有利于城投公司获取稳定现金流，提升融资能力。江浙地区的城投公司在基础设施建设业务方面的可持续性较强，信用风险和流动性风险整体可控。本产品投资的非标准化债权类资产以持有至到期为目的，获取稳定投资收益。</w:t>
      </w:r>
      <w:r>
        <w:rPr>
          <w:rFonts w:ascii="方正仿宋_GBK" w:eastAsia="方正仿宋_GBK" w:hAnsiTheme="minorHAnsi" w:cstheme="minorBidi" w:hint="eastAsia"/>
          <w:sz w:val="24"/>
          <w:szCs w:val="24"/>
        </w:rPr>
        <w:br w:type="textWrapping" w:clear="all"/>
        <w:t xml:space="preserve">    权益方面，2022年压制权益市场的负面因素较多，国内由于疫情防控、房地产调控导致经济衰退，国外通胀高企后流动性超预期收紧，叠加海外地缘</w:t>
      </w:r>
      <w:proofErr w:type="gramStart"/>
      <w:r>
        <w:rPr>
          <w:rFonts w:ascii="方正仿宋_GBK" w:eastAsia="方正仿宋_GBK" w:hAnsiTheme="minorHAnsi" w:cstheme="minorBidi" w:hint="eastAsia"/>
          <w:sz w:val="24"/>
          <w:szCs w:val="24"/>
        </w:rPr>
        <w:t>冲突等黑天鹅</w:t>
      </w:r>
      <w:proofErr w:type="gramEnd"/>
      <w:r>
        <w:rPr>
          <w:rFonts w:ascii="方正仿宋_GBK" w:eastAsia="方正仿宋_GBK" w:hAnsiTheme="minorHAnsi" w:cstheme="minorBidi" w:hint="eastAsia"/>
          <w:sz w:val="24"/>
          <w:szCs w:val="24"/>
        </w:rPr>
        <w:t>事件频发，权益类资产的全年下跌幅度较大，沪深300指数跌幅达到-22%，该跌幅近十年来仅次于2018年。全年中，基本面的亮点主要集中在新老能源，其中新能源赛道一度受益于复工复产而出现明显股价反弹但全年跌幅依然排名靠前，</w:t>
      </w:r>
      <w:proofErr w:type="gramStart"/>
      <w:r>
        <w:rPr>
          <w:rFonts w:ascii="方正仿宋_GBK" w:eastAsia="方正仿宋_GBK" w:hAnsiTheme="minorHAnsi" w:cstheme="minorBidi" w:hint="eastAsia"/>
          <w:sz w:val="24"/>
          <w:szCs w:val="24"/>
        </w:rPr>
        <w:t>新半军</w:t>
      </w:r>
      <w:proofErr w:type="gramEnd"/>
      <w:r>
        <w:rPr>
          <w:rFonts w:ascii="方正仿宋_GBK" w:eastAsia="方正仿宋_GBK" w:hAnsiTheme="minorHAnsi" w:cstheme="minorBidi" w:hint="eastAsia"/>
          <w:sz w:val="24"/>
          <w:szCs w:val="24"/>
        </w:rPr>
        <w:t>为代表的赛道成长板块股价受制于持仓拥挤和交易博弈的现象较为普遍，反观煤炭、石油为代表的老能源同时受益于基本面和估值的修复，其他与经济周期相关的下游消费、中游制造在经济下行阶段也难以有明显的超额。权益部分全年</w:t>
      </w:r>
      <w:proofErr w:type="gramStart"/>
      <w:r>
        <w:rPr>
          <w:rFonts w:ascii="方正仿宋_GBK" w:eastAsia="方正仿宋_GBK" w:hAnsiTheme="minorHAnsi" w:cstheme="minorBidi" w:hint="eastAsia"/>
          <w:sz w:val="24"/>
          <w:szCs w:val="24"/>
        </w:rPr>
        <w:t>仓位</w:t>
      </w:r>
      <w:proofErr w:type="gramEnd"/>
      <w:r>
        <w:rPr>
          <w:rFonts w:ascii="方正仿宋_GBK" w:eastAsia="方正仿宋_GBK" w:hAnsiTheme="minorHAnsi" w:cstheme="minorBidi" w:hint="eastAsia"/>
          <w:sz w:val="24"/>
          <w:szCs w:val="24"/>
        </w:rPr>
        <w:t>偏防守，其中对于基金重仓的消费、新能源板块阶段性规避，对煤炭为代表的周期以及医药、</w:t>
      </w:r>
      <w:proofErr w:type="gramStart"/>
      <w:r>
        <w:rPr>
          <w:rFonts w:ascii="方正仿宋_GBK" w:eastAsia="方正仿宋_GBK" w:hAnsiTheme="minorHAnsi" w:cstheme="minorBidi" w:hint="eastAsia"/>
          <w:sz w:val="24"/>
          <w:szCs w:val="24"/>
        </w:rPr>
        <w:t>信创等</w:t>
      </w:r>
      <w:proofErr w:type="gramEnd"/>
      <w:r>
        <w:rPr>
          <w:rFonts w:ascii="方正仿宋_GBK" w:eastAsia="方正仿宋_GBK" w:hAnsiTheme="minorHAnsi" w:cstheme="minorBidi" w:hint="eastAsia"/>
          <w:sz w:val="24"/>
          <w:szCs w:val="24"/>
        </w:rPr>
        <w:t>板块择机超配，是全年超额收益的主要来源。四季度特别是11月以来，我们看到疫情防控、房地产调控政策出现了明显的转向，说明国家安全和经济发展是一体两面而</w:t>
      </w:r>
      <w:proofErr w:type="gramStart"/>
      <w:r>
        <w:rPr>
          <w:rFonts w:ascii="方正仿宋_GBK" w:eastAsia="方正仿宋_GBK" w:hAnsiTheme="minorHAnsi" w:cstheme="minorBidi" w:hint="eastAsia"/>
          <w:sz w:val="24"/>
          <w:szCs w:val="24"/>
        </w:rPr>
        <w:t>非左右互</w:t>
      </w:r>
      <w:proofErr w:type="gramEnd"/>
      <w:r>
        <w:rPr>
          <w:rFonts w:ascii="方正仿宋_GBK" w:eastAsia="方正仿宋_GBK" w:hAnsiTheme="minorHAnsi" w:cstheme="minorBidi" w:hint="eastAsia"/>
          <w:sz w:val="24"/>
          <w:szCs w:val="24"/>
        </w:rPr>
        <w:t>搏，叠加货币、财政政策可以预期的适度放松，而海外的通胀在高位徘徊后出现环比回落，加息收紧的节奏也</w:t>
      </w:r>
      <w:r>
        <w:rPr>
          <w:rFonts w:ascii="方正仿宋_GBK" w:eastAsia="方正仿宋_GBK" w:hAnsiTheme="minorHAnsi" w:cstheme="minorBidi" w:hint="eastAsia"/>
          <w:sz w:val="24"/>
          <w:szCs w:val="24"/>
        </w:rPr>
        <w:lastRenderedPageBreak/>
        <w:t>开始趋缓，整年压制权益市场的负面因素几乎都出现了缓解，同时目前股市估值对应的</w:t>
      </w:r>
      <w:proofErr w:type="gramStart"/>
      <w:r>
        <w:rPr>
          <w:rFonts w:ascii="方正仿宋_GBK" w:eastAsia="方正仿宋_GBK" w:hAnsiTheme="minorHAnsi" w:cstheme="minorBidi" w:hint="eastAsia"/>
          <w:sz w:val="24"/>
          <w:szCs w:val="24"/>
        </w:rPr>
        <w:t>股债性价</w:t>
      </w:r>
      <w:proofErr w:type="gramEnd"/>
      <w:r>
        <w:rPr>
          <w:rFonts w:ascii="方正仿宋_GBK" w:eastAsia="方正仿宋_GBK" w:hAnsiTheme="minorHAnsi" w:cstheme="minorBidi" w:hint="eastAsia"/>
          <w:sz w:val="24"/>
          <w:szCs w:val="24"/>
        </w:rPr>
        <w:t>比依然处于过去十年80%以上分位数，权益资产具备中长期配置的优势，产品将维持更为积极的权益</w:t>
      </w:r>
      <w:proofErr w:type="gramStart"/>
      <w:r>
        <w:rPr>
          <w:rFonts w:ascii="方正仿宋_GBK" w:eastAsia="方正仿宋_GBK" w:hAnsiTheme="minorHAnsi" w:cstheme="minorBidi" w:hint="eastAsia"/>
          <w:sz w:val="24"/>
          <w:szCs w:val="24"/>
        </w:rPr>
        <w:t>仓位</w:t>
      </w:r>
      <w:proofErr w:type="gramEnd"/>
      <w:r>
        <w:rPr>
          <w:rFonts w:ascii="方正仿宋_GBK" w:eastAsia="方正仿宋_GBK" w:hAnsiTheme="minorHAnsi" w:cstheme="minorBidi" w:hint="eastAsia"/>
          <w:sz w:val="24"/>
          <w:szCs w:val="24"/>
        </w:rPr>
        <w:t>，以应对经济复苏、流动性宽松的有利宏观组合。</w:t>
      </w:r>
      <w:bookmarkStart w:id="0" w:name="_GoBack"/>
      <w:bookmarkEnd w:id="0"/>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3.2 报告期内产品的流动性风险分析</w:t>
      </w:r>
    </w:p>
    <w:p w:rsidR="00B31DA4" w:rsidRDefault="007816A9" w:rsidP="00675A8D">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w:t>
      </w:r>
      <w:r>
        <w:rPr>
          <w:rFonts w:ascii="方正仿宋_GBK" w:eastAsia="方正仿宋_GBK" w:hAnsiTheme="minorHAnsi" w:cstheme="minorBidi"/>
          <w:sz w:val="24"/>
          <w:szCs w:val="24"/>
        </w:rPr>
        <w:t xml:space="preserve">   本产品投资的非标准化债权类资产到期日不晚于产品到期日，债券部分主要投向AA评级以上优质主体债券，权益持仓中维持合理比例高流动性资产，产品整体流动性风险可控。本产品提前做好关键时点资金储备，保障流动性安全，下阶段将继续控制流动性风险。</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3.3 报告期内产品的业绩表现</w:t>
      </w:r>
    </w:p>
    <w:p w:rsidR="00B31DA4" w:rsidRDefault="007816A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截至报告期末，本产品份额净值为1.0223元。</w:t>
      </w:r>
    </w:p>
    <w:p w:rsidR="00B31DA4" w:rsidRDefault="00B31DA4" w:rsidP="00675A8D">
      <w:pPr>
        <w:spacing w:before="240" w:after="72" w:line="360" w:lineRule="auto"/>
        <w:rPr>
          <w:rFonts w:ascii="方正仿宋_GBK" w:eastAsia="方正仿宋_GBK" w:hAnsi="宋体"/>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§4  投资组合报告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45"/>
        <w:gridCol w:w="1859"/>
        <w:gridCol w:w="3002"/>
        <w:gridCol w:w="3289"/>
      </w:tblGrid>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穿透前占总</w:t>
            </w:r>
            <w:proofErr w:type="gramEnd"/>
            <w:r>
              <w:rPr>
                <w:rFonts w:ascii="方正仿宋_GBK" w:eastAsia="方正仿宋_GBK" w:hAnsi="仿宋_GB2312" w:cs="仿宋_GB2312"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穿透后占总资产比例</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91.82%</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94.32%</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2.73%</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8.18%</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2.95%</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lastRenderedPageBreak/>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58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代码</w:t>
            </w:r>
          </w:p>
        </w:tc>
        <w:tc>
          <w:tcPr>
            <w:tcW w:w="272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名称</w:t>
            </w:r>
          </w:p>
        </w:tc>
        <w:tc>
          <w:tcPr>
            <w:tcW w:w="2058"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公允价值（元）</w:t>
            </w:r>
          </w:p>
        </w:tc>
        <w:tc>
          <w:tcPr>
            <w:tcW w:w="1812"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占产品资产净值比例（％）</w:t>
            </w:r>
          </w:p>
        </w:tc>
      </w:tr>
      <w:tr w:rsidR="00C87B4A">
        <w:trPr>
          <w:trHeight w:val="583"/>
          <w:jc w:val="center"/>
        </w:trPr>
        <w:tc>
          <w:tcPr>
            <w:tcW w:w="751" w:type="dxa"/>
            <w:shd w:val="clear" w:color="auto" w:fill="auto"/>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585" w:type="dxa"/>
            <w:shd w:val="clear" w:color="auto" w:fill="auto"/>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22088128</w:t>
            </w:r>
          </w:p>
        </w:tc>
        <w:tc>
          <w:tcPr>
            <w:tcW w:w="2720"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w:t>
            </w:r>
            <w:r>
              <w:rPr>
                <w:rFonts w:ascii="方正仿宋_GBK" w:eastAsia="方正仿宋_GBK" w:hAnsi="方正仿宋_GBK" w:cs="方正仿宋_GBK"/>
                <w:sz w:val="24"/>
              </w:rPr>
              <w:t>徐圩港投</w:t>
            </w:r>
            <w:r>
              <w:rPr>
                <w:rFonts w:ascii="方正仿宋_GBK" w:eastAsia="方正仿宋_GBK" w:hAnsi="方正仿宋_GBK" w:cs="方正仿宋_GBK"/>
                <w:sz w:val="24"/>
              </w:rPr>
              <w:t>03</w:t>
            </w:r>
          </w:p>
        </w:tc>
        <w:tc>
          <w:tcPr>
            <w:tcW w:w="2058"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50,000,000.00</w:t>
            </w:r>
          </w:p>
        </w:tc>
        <w:tc>
          <w:tcPr>
            <w:tcW w:w="1812"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42.19</w:t>
            </w:r>
          </w:p>
        </w:tc>
      </w:tr>
      <w:tr w:rsidR="00C87B4A">
        <w:trPr>
          <w:trHeight w:val="583"/>
          <w:jc w:val="center"/>
        </w:trPr>
        <w:tc>
          <w:tcPr>
            <w:tcW w:w="751" w:type="dxa"/>
            <w:shd w:val="clear" w:color="auto" w:fill="auto"/>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585" w:type="dxa"/>
            <w:shd w:val="clear" w:color="auto" w:fill="auto"/>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ZZGJT202005290001</w:t>
            </w:r>
          </w:p>
        </w:tc>
        <w:tc>
          <w:tcPr>
            <w:tcW w:w="2720"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proofErr w:type="gramStart"/>
            <w:r>
              <w:rPr>
                <w:rFonts w:ascii="方正仿宋_GBK" w:eastAsia="方正仿宋_GBK" w:hAnsi="方正仿宋_GBK" w:cs="方正仿宋_GBK"/>
                <w:sz w:val="24"/>
              </w:rPr>
              <w:t>鑫元基金</w:t>
            </w:r>
            <w:r>
              <w:rPr>
                <w:rFonts w:ascii="方正仿宋_GBK" w:eastAsia="方正仿宋_GBK" w:hAnsi="方正仿宋_GBK" w:cs="方正仿宋_GBK"/>
                <w:sz w:val="24"/>
              </w:rPr>
              <w:t>-</w:t>
            </w:r>
            <w:r>
              <w:rPr>
                <w:rFonts w:ascii="方正仿宋_GBK" w:eastAsia="方正仿宋_GBK" w:hAnsi="方正仿宋_GBK" w:cs="方正仿宋_GBK"/>
                <w:sz w:val="24"/>
              </w:rPr>
              <w:t>鑫</w:t>
            </w:r>
            <w:proofErr w:type="gramEnd"/>
            <w:r>
              <w:rPr>
                <w:rFonts w:ascii="方正仿宋_GBK" w:eastAsia="方正仿宋_GBK" w:hAnsi="方正仿宋_GBK" w:cs="方正仿宋_GBK"/>
                <w:sz w:val="24"/>
              </w:rPr>
              <w:t>安利得</w:t>
            </w:r>
            <w:r>
              <w:rPr>
                <w:rFonts w:ascii="方正仿宋_GBK" w:eastAsia="方正仿宋_GBK" w:hAnsi="方正仿宋_GBK" w:cs="方正仿宋_GBK"/>
                <w:sz w:val="24"/>
              </w:rPr>
              <w:t>51</w:t>
            </w:r>
            <w:r>
              <w:rPr>
                <w:rFonts w:ascii="方正仿宋_GBK" w:eastAsia="方正仿宋_GBK" w:hAnsi="方正仿宋_GBK" w:cs="方正仿宋_GBK"/>
                <w:sz w:val="24"/>
              </w:rPr>
              <w:t>号</w:t>
            </w:r>
          </w:p>
        </w:tc>
        <w:tc>
          <w:tcPr>
            <w:tcW w:w="2058"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49,186,957.49</w:t>
            </w:r>
          </w:p>
        </w:tc>
        <w:tc>
          <w:tcPr>
            <w:tcW w:w="1812"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41.50</w:t>
            </w:r>
          </w:p>
        </w:tc>
      </w:tr>
      <w:tr w:rsidR="00C87B4A">
        <w:trPr>
          <w:trHeight w:val="583"/>
          <w:jc w:val="center"/>
        </w:trPr>
        <w:tc>
          <w:tcPr>
            <w:tcW w:w="751" w:type="dxa"/>
            <w:shd w:val="clear" w:color="auto" w:fill="auto"/>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585" w:type="dxa"/>
            <w:shd w:val="clear" w:color="auto" w:fill="auto"/>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HHQTT202103300001</w:t>
            </w:r>
          </w:p>
        </w:tc>
        <w:tc>
          <w:tcPr>
            <w:tcW w:w="2720"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华夏</w:t>
            </w:r>
            <w:proofErr w:type="gramStart"/>
            <w:r>
              <w:rPr>
                <w:rFonts w:ascii="方正仿宋_GBK" w:eastAsia="方正仿宋_GBK" w:hAnsi="方正仿宋_GBK" w:cs="方正仿宋_GBK"/>
                <w:sz w:val="24"/>
              </w:rPr>
              <w:t>基金宁益</w:t>
            </w:r>
            <w:r>
              <w:rPr>
                <w:rFonts w:ascii="方正仿宋_GBK" w:eastAsia="方正仿宋_GBK" w:hAnsi="方正仿宋_GBK" w:cs="方正仿宋_GBK"/>
                <w:sz w:val="24"/>
              </w:rPr>
              <w:t>1</w:t>
            </w:r>
            <w:r>
              <w:rPr>
                <w:rFonts w:ascii="方正仿宋_GBK" w:eastAsia="方正仿宋_GBK" w:hAnsi="方正仿宋_GBK" w:cs="方正仿宋_GBK"/>
                <w:sz w:val="24"/>
              </w:rPr>
              <w:t>号</w:t>
            </w:r>
            <w:proofErr w:type="gramEnd"/>
            <w:r>
              <w:rPr>
                <w:rFonts w:ascii="方正仿宋_GBK" w:eastAsia="方正仿宋_GBK" w:hAnsi="方正仿宋_GBK" w:cs="方正仿宋_GBK"/>
                <w:sz w:val="24"/>
              </w:rPr>
              <w:t>集合资产管理计划</w:t>
            </w:r>
          </w:p>
        </w:tc>
        <w:tc>
          <w:tcPr>
            <w:tcW w:w="2058"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9,716,869.29</w:t>
            </w:r>
          </w:p>
        </w:tc>
        <w:tc>
          <w:tcPr>
            <w:tcW w:w="1812"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8.20</w:t>
            </w:r>
          </w:p>
        </w:tc>
      </w:tr>
      <w:tr w:rsidR="00C87B4A">
        <w:trPr>
          <w:trHeight w:val="583"/>
          <w:jc w:val="center"/>
        </w:trPr>
        <w:tc>
          <w:tcPr>
            <w:tcW w:w="751" w:type="dxa"/>
            <w:shd w:val="clear" w:color="auto" w:fill="auto"/>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w:t>
            </w:r>
          </w:p>
        </w:tc>
        <w:tc>
          <w:tcPr>
            <w:tcW w:w="1585" w:type="dxa"/>
            <w:shd w:val="clear" w:color="auto" w:fill="auto"/>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22088163</w:t>
            </w:r>
          </w:p>
        </w:tc>
        <w:tc>
          <w:tcPr>
            <w:tcW w:w="2720"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w:t>
            </w:r>
            <w:r>
              <w:rPr>
                <w:rFonts w:ascii="方正仿宋_GBK" w:eastAsia="方正仿宋_GBK" w:hAnsi="方正仿宋_GBK" w:cs="方正仿宋_GBK"/>
                <w:sz w:val="24"/>
              </w:rPr>
              <w:t>扬中绿洲</w:t>
            </w:r>
            <w:r>
              <w:rPr>
                <w:rFonts w:ascii="方正仿宋_GBK" w:eastAsia="方正仿宋_GBK" w:hAnsi="方正仿宋_GBK" w:cs="方正仿宋_GBK"/>
                <w:sz w:val="24"/>
              </w:rPr>
              <w:t>01</w:t>
            </w:r>
          </w:p>
        </w:tc>
        <w:tc>
          <w:tcPr>
            <w:tcW w:w="2058"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6,000,000.00</w:t>
            </w:r>
          </w:p>
        </w:tc>
        <w:tc>
          <w:tcPr>
            <w:tcW w:w="1812" w:type="dxa"/>
            <w:shd w:val="clear" w:color="000000" w:fill="FFFFFF"/>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5.06</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rPr>
          <w:rFonts w:ascii="方正仿宋_GBK" w:eastAsia="方正仿宋_GBK" w:hAnsi="宋体" w:cs="宋体"/>
          <w:b/>
          <w:sz w:val="24"/>
          <w:szCs w:val="24"/>
          <w:shd w:val="clear" w:color="auto" w:fill="FFFFFF"/>
        </w:rPr>
      </w:pPr>
      <w:r>
        <w:rPr>
          <w:rFonts w:ascii="方正仿宋_GBK" w:eastAsia="方正仿宋_GBK" w:hAnsi="宋体" w:cs="宋体" w:hint="eastAsia"/>
          <w:b/>
          <w:sz w:val="24"/>
          <w:szCs w:val="24"/>
          <w:shd w:val="clear" w:color="auto" w:fill="FFFFFF"/>
        </w:rPr>
        <w:t>4.3报告期末非标准化债权类资产明细</w:t>
      </w:r>
    </w:p>
    <w:tbl>
      <w:tblPr>
        <w:tblpPr w:leftFromText="180" w:rightFromText="180" w:vertAnchor="text" w:tblpXSpec="center" w:tblpY="1"/>
        <w:tblOverlap w:val="never"/>
        <w:tblW w:w="8926"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704"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融资客户</w:t>
            </w:r>
          </w:p>
        </w:tc>
        <w:tc>
          <w:tcPr>
            <w:tcW w:w="127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项目名称</w:t>
            </w:r>
          </w:p>
        </w:tc>
        <w:tc>
          <w:tcPr>
            <w:tcW w:w="154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剩余融资期限（</w:t>
            </w:r>
            <w:r>
              <w:rPr>
                <w:rFonts w:ascii="方正仿宋_GBK" w:eastAsia="方正仿宋_GBK" w:hAnsi="仿宋_GB2312" w:cs="仿宋_GB2312"/>
                <w:sz w:val="24"/>
                <w:szCs w:val="24"/>
              </w:rPr>
              <w:t>天）</w:t>
            </w:r>
          </w:p>
        </w:tc>
        <w:tc>
          <w:tcPr>
            <w:tcW w:w="138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到期收益分配</w:t>
            </w:r>
          </w:p>
        </w:tc>
        <w:tc>
          <w:tcPr>
            <w:tcW w:w="127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交易结构</w:t>
            </w:r>
          </w:p>
        </w:tc>
        <w:tc>
          <w:tcPr>
            <w:tcW w:w="87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风险状况</w:t>
            </w:r>
          </w:p>
        </w:tc>
      </w:tr>
      <w:tr w:rsidR="00C87B4A">
        <w:trPr>
          <w:trHeight w:val="571"/>
          <w:jc w:val="center"/>
        </w:trPr>
        <w:tc>
          <w:tcPr>
            <w:tcW w:w="877"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704"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扬中绿洲新城实业集团有限公司</w:t>
            </w:r>
          </w:p>
        </w:tc>
        <w:tc>
          <w:tcPr>
            <w:tcW w:w="1275"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w:t>
            </w:r>
            <w:r>
              <w:rPr>
                <w:rFonts w:ascii="方正仿宋_GBK" w:eastAsia="方正仿宋_GBK" w:hAnsi="方正仿宋_GBK" w:cs="方正仿宋_GBK"/>
                <w:sz w:val="24"/>
              </w:rPr>
              <w:t>扬中绿洲</w:t>
            </w:r>
            <w:r>
              <w:rPr>
                <w:rFonts w:ascii="方正仿宋_GBK" w:eastAsia="方正仿宋_GBK" w:hAnsi="方正仿宋_GBK" w:cs="方正仿宋_GBK"/>
                <w:sz w:val="24"/>
              </w:rPr>
              <w:t>01</w:t>
            </w:r>
          </w:p>
        </w:tc>
        <w:tc>
          <w:tcPr>
            <w:tcW w:w="1540"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411</w:t>
            </w:r>
          </w:p>
        </w:tc>
        <w:tc>
          <w:tcPr>
            <w:tcW w:w="1383"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C87B4A">
        <w:trPr>
          <w:trHeight w:val="571"/>
          <w:jc w:val="center"/>
        </w:trPr>
        <w:tc>
          <w:tcPr>
            <w:tcW w:w="877"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704"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连云港徐圩港口投资集团有限公司</w:t>
            </w:r>
          </w:p>
        </w:tc>
        <w:tc>
          <w:tcPr>
            <w:tcW w:w="1275"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w:t>
            </w:r>
            <w:r>
              <w:rPr>
                <w:rFonts w:ascii="方正仿宋_GBK" w:eastAsia="方正仿宋_GBK" w:hAnsi="方正仿宋_GBK" w:cs="方正仿宋_GBK"/>
                <w:sz w:val="24"/>
              </w:rPr>
              <w:t>徐圩港投</w:t>
            </w:r>
            <w:r>
              <w:rPr>
                <w:rFonts w:ascii="方正仿宋_GBK" w:eastAsia="方正仿宋_GBK" w:hAnsi="方正仿宋_GBK" w:cs="方正仿宋_GBK"/>
                <w:sz w:val="24"/>
              </w:rPr>
              <w:t>03</w:t>
            </w:r>
          </w:p>
        </w:tc>
        <w:tc>
          <w:tcPr>
            <w:tcW w:w="1540"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393</w:t>
            </w:r>
          </w:p>
        </w:tc>
        <w:tc>
          <w:tcPr>
            <w:tcW w:w="1383"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按年付息，到期还本</w:t>
            </w:r>
          </w:p>
        </w:tc>
        <w:tc>
          <w:tcPr>
            <w:tcW w:w="1271"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C87B4A" w:rsidRDefault="0081224B">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§5 投资账户信息</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序号</w:t>
            </w:r>
          </w:p>
        </w:tc>
        <w:tc>
          <w:tcPr>
            <w:tcW w:w="1417"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账户类型</w:t>
            </w:r>
          </w:p>
        </w:tc>
        <w:tc>
          <w:tcPr>
            <w:tcW w:w="266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账号</w:t>
            </w:r>
          </w:p>
        </w:tc>
        <w:tc>
          <w:tcPr>
            <w:tcW w:w="1983"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账户名称</w:t>
            </w:r>
          </w:p>
        </w:tc>
        <w:tc>
          <w:tcPr>
            <w:tcW w:w="198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开户单位</w:t>
            </w:r>
          </w:p>
        </w:tc>
      </w:tr>
      <w:tr w:rsidR="00C87B4A">
        <w:trPr>
          <w:trHeight w:val="584"/>
          <w:jc w:val="center"/>
        </w:trPr>
        <w:tc>
          <w:tcPr>
            <w:tcW w:w="846" w:type="dxa"/>
            <w:vAlign w:val="center"/>
          </w:tcPr>
          <w:p w:rsidR="00C87B4A" w:rsidRDefault="0081224B">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1</w:t>
            </w:r>
          </w:p>
        </w:tc>
        <w:tc>
          <w:tcPr>
            <w:tcW w:w="1417" w:type="dxa"/>
            <w:vAlign w:val="center"/>
          </w:tcPr>
          <w:p w:rsidR="00C87B4A" w:rsidRDefault="0081224B">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托管账户</w:t>
            </w:r>
          </w:p>
        </w:tc>
        <w:tc>
          <w:tcPr>
            <w:tcW w:w="2668" w:type="dxa"/>
            <w:vAlign w:val="center"/>
          </w:tcPr>
          <w:p w:rsidR="00C87B4A" w:rsidRDefault="0081224B">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0120030000000746</w:t>
            </w:r>
          </w:p>
        </w:tc>
        <w:tc>
          <w:tcPr>
            <w:tcW w:w="1983" w:type="dxa"/>
            <w:vAlign w:val="center"/>
          </w:tcPr>
          <w:p w:rsidR="00C87B4A" w:rsidRDefault="0081224B">
            <w:pPr>
              <w:spacing w:beforeLines="20" w:before="48" w:afterLines="20" w:after="48"/>
              <w:jc w:val="center"/>
              <w:textAlignment w:val="center"/>
              <w:rPr>
                <w:rFonts w:ascii="方正仿宋_GBK" w:eastAsia="方正仿宋_GBK" w:hAnsi="Calibri"/>
                <w:sz w:val="24"/>
                <w:szCs w:val="24"/>
                <w:shd w:val="clear" w:color="auto" w:fill="FFFFFF"/>
              </w:rPr>
            </w:pPr>
            <w:proofErr w:type="gramStart"/>
            <w:r>
              <w:rPr>
                <w:rFonts w:ascii="方正仿宋_GBK" w:eastAsia="方正仿宋_GBK" w:hAnsi="方正仿宋_GBK" w:cs="方正仿宋_GBK"/>
                <w:sz w:val="24"/>
              </w:rPr>
              <w:t>南银理财鑫逸稳增强</w:t>
            </w:r>
            <w:proofErr w:type="gramEnd"/>
            <w:r>
              <w:rPr>
                <w:rFonts w:ascii="方正仿宋_GBK" w:eastAsia="方正仿宋_GBK" w:hAnsi="方正仿宋_GBK" w:cs="方正仿宋_GBK"/>
                <w:sz w:val="24"/>
              </w:rPr>
              <w:t>两年</w:t>
            </w:r>
            <w:r>
              <w:rPr>
                <w:rFonts w:ascii="方正仿宋_GBK" w:eastAsia="方正仿宋_GBK" w:hAnsi="方正仿宋_GBK" w:cs="方正仿宋_GBK"/>
                <w:sz w:val="24"/>
              </w:rPr>
              <w:t>9</w:t>
            </w:r>
            <w:r>
              <w:rPr>
                <w:rFonts w:ascii="方正仿宋_GBK" w:eastAsia="方正仿宋_GBK" w:hAnsi="方正仿宋_GBK" w:cs="方正仿宋_GBK"/>
                <w:sz w:val="24"/>
              </w:rPr>
              <w:t>期</w:t>
            </w:r>
          </w:p>
        </w:tc>
        <w:tc>
          <w:tcPr>
            <w:tcW w:w="1988" w:type="dxa"/>
            <w:vAlign w:val="center"/>
          </w:tcPr>
          <w:p w:rsidR="00C87B4A" w:rsidRDefault="0081224B">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南京银行</w:t>
            </w:r>
          </w:p>
        </w:tc>
      </w:tr>
    </w:tbl>
    <w:p w:rsidR="00B31DA4" w:rsidRDefault="00B31DA4" w:rsidP="0068509B">
      <w:pPr>
        <w:spacing w:afterLines="0" w:after="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§6 关联交易情况</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报告期内，产品投资于关联</w:t>
      </w:r>
      <w:proofErr w:type="gramStart"/>
      <w:r>
        <w:rPr>
          <w:rFonts w:ascii="方正仿宋_GBK" w:eastAsia="方正仿宋_GBK" w:hAnsiTheme="minorHAnsi" w:cstheme="minorBidi" w:hint="eastAsia"/>
          <w:sz w:val="24"/>
          <w:szCs w:val="24"/>
        </w:rPr>
        <w:t>方发行</w:t>
      </w:r>
      <w:proofErr w:type="gramEnd"/>
      <w:r>
        <w:rPr>
          <w:rFonts w:ascii="方正仿宋_GBK" w:eastAsia="方正仿宋_GBK" w:hAnsiTheme="minorHAnsi" w:cstheme="minorBidi" w:hint="eastAsia"/>
          <w:sz w:val="24"/>
          <w:szCs w:val="24"/>
        </w:rPr>
        <w:t>的证券、关联方作为融资人的非标准化债权类资产业务交易金额0.00元。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产品投资于关联方承销的证券交易金额0.00元。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产品与关联方作为交易对手开展的投融资业务交易金额0.00元。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产品投资关联方作为管理人的资产管理产品交易金额0.00元。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产品应支付关联方托管费5,976.99元，应支付关联方代销费</w:t>
      </w:r>
      <w:r w:rsidR="00735F94">
        <w:rPr>
          <w:rFonts w:ascii="方正仿宋_GBK" w:eastAsia="方正仿宋_GBK" w:hAnsiTheme="minorHAnsi" w:cstheme="minorBidi" w:hint="eastAsia"/>
          <w:sz w:val="24"/>
          <w:szCs w:val="24"/>
        </w:rPr>
        <w:t>42,423.46</w:t>
      </w:r>
      <w:r>
        <w:rPr>
          <w:rFonts w:ascii="方正仿宋_GBK" w:eastAsia="方正仿宋_GBK" w:hAnsiTheme="minorHAnsi" w:cstheme="minorBidi" w:hint="eastAsia"/>
          <w:sz w:val="24"/>
          <w:szCs w:val="24"/>
        </w:rPr>
        <w:t>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产品发生其他关联交易金额0.00元。</w:t>
      </w:r>
    </w:p>
    <w:p w:rsidR="00B31DA4"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Default="007816A9" w:rsidP="00675A8D">
      <w:pPr>
        <w:spacing w:before="240" w:after="72" w:line="360" w:lineRule="auto"/>
        <w:jc w:val="right"/>
        <w:rPr>
          <w:rFonts w:ascii="方正仿宋_GBK" w:eastAsia="方正仿宋_GBK" w:hAnsi="Calibri"/>
          <w:b/>
          <w:sz w:val="24"/>
          <w:szCs w:val="24"/>
        </w:rPr>
      </w:pPr>
      <w:proofErr w:type="gramStart"/>
      <w:r>
        <w:rPr>
          <w:rFonts w:ascii="方正仿宋_GBK" w:eastAsia="方正仿宋_GBK" w:hAnsi="Calibri" w:hint="eastAsia"/>
          <w:b/>
          <w:sz w:val="24"/>
          <w:szCs w:val="24"/>
        </w:rPr>
        <w:t>南银理财</w:t>
      </w:r>
      <w:proofErr w:type="gramEnd"/>
      <w:r>
        <w:rPr>
          <w:rFonts w:ascii="方正仿宋_GBK" w:eastAsia="方正仿宋_GBK" w:hAnsi="Calibri" w:hint="eastAsia"/>
          <w:b/>
          <w:sz w:val="24"/>
          <w:szCs w:val="24"/>
        </w:rPr>
        <w:t>有限责任公司</w:t>
      </w:r>
    </w:p>
    <w:p w:rsidR="00B31DA4" w:rsidRDefault="007816A9" w:rsidP="00675A8D">
      <w:pPr>
        <w:spacing w:before="240" w:after="72" w:line="360" w:lineRule="auto"/>
        <w:jc w:val="right"/>
        <w:rPr>
          <w:rFonts w:ascii="方正仿宋_GBK" w:eastAsia="方正仿宋_GBK"/>
          <w:b/>
          <w:sz w:val="24"/>
          <w:szCs w:val="24"/>
        </w:rPr>
      </w:pPr>
      <w:r>
        <w:rPr>
          <w:rFonts w:ascii="方正仿宋_GBK" w:eastAsia="方正仿宋_GBK" w:hint="eastAsia"/>
          <w:b/>
          <w:sz w:val="24"/>
          <w:szCs w:val="24"/>
        </w:rPr>
        <w:t>2022年12月31日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7FF" w:rsidRDefault="007816A9">
      <w:pPr>
        <w:spacing w:after="72"/>
      </w:pPr>
      <w:r>
        <w:separator/>
      </w:r>
    </w:p>
  </w:endnote>
  <w:endnote w:type="continuationSeparator" w:id="0">
    <w:p w:rsidR="005117FF" w:rsidRDefault="007816A9">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7816A9">
    <w:pPr>
      <w:pStyle w:val="a3"/>
      <w:framePr w:wrap="around" w:vAnchor="text" w:hAnchor="margin" w:xAlign="center" w:y="1"/>
      <w:spacing w:after="72"/>
      <w:rPr>
        <w:rStyle w:val="a6"/>
      </w:rPr>
    </w:pPr>
    <w:r>
      <w:fldChar w:fldCharType="begin"/>
    </w:r>
    <w:r>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7FF" w:rsidRDefault="007816A9">
      <w:pPr>
        <w:spacing w:after="72"/>
      </w:pPr>
      <w:r>
        <w:separator/>
      </w:r>
    </w:p>
  </w:footnote>
  <w:footnote w:type="continuationSeparator" w:id="0">
    <w:p w:rsidR="005117FF" w:rsidRDefault="007816A9">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1224B"/>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87B4A"/>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C5F4270"/>
    <w:rsid w:val="341F714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F25AF451-E35C-4A6F-B59F-1457E5E6B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Lines="30" w:after="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style>
  <w:style w:type="character" w:customStyle="1" w:styleId="Char">
    <w:name w:val="页脚 Char"/>
    <w:link w:val="a3"/>
    <w:uiPriority w:val="99"/>
    <w:qFormat/>
    <w:locked/>
    <w:rPr>
      <w:rFonts w:ascii="Times New Roman" w:hAnsi="Times New Roman" w:cs="Times New Roman"/>
      <w:sz w:val="18"/>
      <w:szCs w:val="18"/>
    </w:rPr>
  </w:style>
  <w:style w:type="character" w:customStyle="1" w:styleId="Char1">
    <w:name w:val="页脚 Char1"/>
    <w:basedOn w:val="a0"/>
    <w:uiPriority w:val="99"/>
    <w:semiHidden/>
    <w:qFormat/>
    <w:rPr>
      <w:rFonts w:ascii="Times New Roman" w:eastAsia="宋体" w:hAnsi="Times New Roman" w:cs="Times New Roman"/>
      <w:sz w:val="18"/>
      <w:szCs w:val="18"/>
    </w:rPr>
  </w:style>
  <w:style w:type="paragraph" w:customStyle="1" w:styleId="biaogeleft">
    <w:name w:val="biaoge_left"/>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pPr>
      <w:jc w:val="both"/>
    </w:pPr>
    <w:rPr>
      <w:rFonts w:ascii="Times New Roman" w:eastAsia="宋体" w:hAnsi="Times New Roman" w:cs="Times New Roman"/>
      <w:kern w:val="2"/>
      <w:sz w:val="21"/>
      <w:szCs w:val="21"/>
    </w:rPr>
  </w:style>
  <w:style w:type="paragraph" w:customStyle="1" w:styleId="biaogeright">
    <w:name w:val="biaoge_right"/>
    <w:basedOn w:val="a"/>
    <w:qFormat/>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476</Words>
  <Characters>2714</Characters>
  <Application>Microsoft Office Word</Application>
  <DocSecurity>0</DocSecurity>
  <Lines>22</Lines>
  <Paragraphs>6</Paragraphs>
  <ScaleCrop>false</ScaleCrop>
  <Company>cc</Company>
  <LinksUpToDate>false</LinksUpToDate>
  <CharactersWithSpaces>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兆尹科技</cp:lastModifiedBy>
  <cp:revision>2</cp:revision>
  <dcterms:created xsi:type="dcterms:W3CDTF">2023-01-13T08:40:00Z</dcterms:created>
  <dcterms:modified xsi:type="dcterms:W3CDTF">2023-01-13T08:40:00Z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