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68509B" w:rsidRDefault="0068509B" w:rsidP="00675A8D">
      <w:pPr>
        <w:spacing w:before="240" w:after="72" w:line="360" w:lineRule="auto"/>
        <w:rPr>
          <w:rFonts w:asciiTheme="minorEastAsia" w:eastAsiaTheme="minorEastAsia" w:hAnsiTheme="minorEastAsia"/>
        </w:rPr>
      </w:pPr>
    </w:p>
    <w:p w:rsidR="00B31DA4" w:rsidRDefault="007816A9" w:rsidP="00675A8D">
      <w:pPr>
        <w:snapToGrid w:val="0"/>
        <w:spacing w:before="240" w:after="72" w:line="360" w:lineRule="auto"/>
        <w:jc w:val="center"/>
        <w:rPr>
          <w:rFonts w:ascii="方正黑体_GBK" w:eastAsia="方正黑体_GBK"/>
          <w:sz w:val="36"/>
          <w:szCs w:val="36"/>
        </w:rPr>
      </w:pPr>
      <w:proofErr w:type="gramStart"/>
      <w:r>
        <w:rPr>
          <w:rFonts w:ascii="方正黑体_GBK" w:eastAsia="方正黑体_GBK" w:hint="eastAsia"/>
          <w:sz w:val="36"/>
          <w:szCs w:val="36"/>
        </w:rPr>
        <w:t>南银理财</w:t>
      </w:r>
      <w:proofErr w:type="gramEnd"/>
      <w:r>
        <w:rPr>
          <w:rFonts w:ascii="方正黑体_GBK" w:eastAsia="方正黑体_GBK" w:hint="eastAsia"/>
          <w:sz w:val="36"/>
          <w:szCs w:val="36"/>
        </w:rPr>
        <w:t>珠联璧合</w:t>
      </w:r>
      <w:proofErr w:type="gramStart"/>
      <w:r>
        <w:rPr>
          <w:rFonts w:ascii="方正黑体_GBK" w:eastAsia="方正黑体_GBK" w:hint="eastAsia"/>
          <w:sz w:val="36"/>
          <w:szCs w:val="36"/>
        </w:rPr>
        <w:t>鑫逸稳</w:t>
      </w:r>
      <w:proofErr w:type="gramEnd"/>
      <w:r>
        <w:rPr>
          <w:rFonts w:ascii="方正黑体_GBK" w:eastAsia="方正黑体_GBK" w:hint="eastAsia"/>
          <w:sz w:val="36"/>
          <w:szCs w:val="36"/>
        </w:rPr>
        <w:t>一年80期封闭式公募人民币理财产品</w:t>
      </w:r>
    </w:p>
    <w:p w:rsidR="00B31DA4" w:rsidRPr="0068509B" w:rsidRDefault="007816A9" w:rsidP="00675A8D">
      <w:pPr>
        <w:snapToGrid w:val="0"/>
        <w:spacing w:before="240" w:after="72" w:line="360" w:lineRule="auto"/>
        <w:jc w:val="center"/>
        <w:rPr>
          <w:rFonts w:ascii="方正黑体_GBK" w:eastAsia="方正黑体_GBK"/>
          <w:sz w:val="36"/>
          <w:szCs w:val="36"/>
        </w:rPr>
      </w:pPr>
      <w:r w:rsidRPr="0068509B">
        <w:rPr>
          <w:rFonts w:ascii="方正黑体_GBK" w:eastAsia="方正黑体_GBK" w:hint="eastAsia"/>
          <w:sz w:val="36"/>
          <w:szCs w:val="36"/>
        </w:rPr>
        <w:t>2022年第4季度报告</w:t>
      </w: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68509B" w:rsidRDefault="0068509B" w:rsidP="00675A8D">
      <w:pPr>
        <w:spacing w:before="240" w:after="72" w:line="360" w:lineRule="auto"/>
        <w:jc w:val="center"/>
        <w:rPr>
          <w:rFonts w:ascii="方正黑体简体" w:eastAsia="方正黑体简体"/>
          <w:sz w:val="36"/>
          <w:szCs w:val="36"/>
        </w:rPr>
      </w:pP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产品管理人:</w:t>
      </w:r>
      <w:proofErr w:type="gramStart"/>
      <w:r>
        <w:rPr>
          <w:rFonts w:ascii="方正仿宋_GBK" w:eastAsia="方正仿宋_GBK" w:hint="eastAsia"/>
          <w:b/>
          <w:sz w:val="24"/>
          <w:szCs w:val="24"/>
        </w:rPr>
        <w:t>南银理财</w:t>
      </w:r>
      <w:proofErr w:type="gramEnd"/>
      <w:r>
        <w:rPr>
          <w:rFonts w:ascii="方正仿宋_GBK" w:eastAsia="方正仿宋_GBK" w:hint="eastAsia"/>
          <w:b/>
          <w:sz w:val="24"/>
          <w:szCs w:val="24"/>
        </w:rPr>
        <w:t>有限责任公司</w:t>
      </w:r>
    </w:p>
    <w:p w:rsidR="00B31DA4" w:rsidRDefault="007816A9" w:rsidP="00675A8D">
      <w:pPr>
        <w:snapToGrid w:val="0"/>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产品托管人:南京银行股份有限公司</w:t>
      </w:r>
    </w:p>
    <w:p w:rsidR="00D46EBF" w:rsidRPr="00D46EBF" w:rsidRDefault="00D46EBF" w:rsidP="00675A8D">
      <w:pPr>
        <w:spacing w:before="240" w:after="72" w:line="360" w:lineRule="auto"/>
        <w:rPr>
          <w:rFonts w:ascii="方正黑体简体" w:eastAsia="方正黑体简体"/>
          <w:sz w:val="36"/>
          <w:szCs w:val="36"/>
        </w:rPr>
      </w:pPr>
    </w:p>
    <w:p w:rsidR="00D46EBF" w:rsidRPr="0068509B" w:rsidRDefault="00D46EBF" w:rsidP="00675A8D">
      <w:pPr>
        <w:spacing w:before="240" w:after="72" w:line="360" w:lineRule="auto"/>
        <w:rPr>
          <w:rFonts w:ascii="方正黑体简体" w:eastAsia="方正黑体简体"/>
          <w:sz w:val="36"/>
          <w:szCs w:val="36"/>
        </w:rPr>
      </w:pPr>
    </w:p>
    <w:p w:rsidR="00D46EBF" w:rsidRDefault="00D46EBF" w:rsidP="00675A8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1DA4" w:rsidRPr="00676EE8"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rPr>
        <w:lastRenderedPageBreak/>
        <w:t xml:space="preserve">§1 </w:t>
      </w:r>
      <w:r>
        <w:rPr>
          <w:rFonts w:ascii="方正仿宋_GBK" w:eastAsia="方正仿宋_GBK" w:hAnsi="Calibri" w:hint="eastAsia"/>
          <w:b/>
          <w:sz w:val="24"/>
          <w:szCs w:val="24"/>
        </w:rPr>
        <w:t>产品概况</w:t>
      </w:r>
    </w:p>
    <w:tbl>
      <w:tblPr>
        <w:tblpPr w:leftFromText="180" w:rightFromText="180" w:vertAnchor="text" w:tblpXSpec="center" w:tblpY="1"/>
        <w:tblOverlap w:val="never"/>
        <w:tblW w:w="889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2719"/>
        <w:gridCol w:w="6178"/>
      </w:tblGrid>
      <w:tr w:rsidR="00B31DA4" w:rsidTr="006A7A9E">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产品全称</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南银理财</w:t>
            </w:r>
            <w:proofErr w:type="gramEnd"/>
            <w:r>
              <w:rPr>
                <w:rFonts w:ascii="方正仿宋_GBK" w:eastAsia="方正仿宋_GBK" w:hAnsi="仿宋_GB2312" w:cs="仿宋_GB2312" w:hint="eastAsia"/>
                <w:sz w:val="24"/>
                <w:szCs w:val="24"/>
              </w:rPr>
              <w:t>珠联璧合</w:t>
            </w:r>
            <w:proofErr w:type="gramStart"/>
            <w:r>
              <w:rPr>
                <w:rFonts w:ascii="方正仿宋_GBK" w:eastAsia="方正仿宋_GBK" w:hAnsi="仿宋_GB2312" w:cs="仿宋_GB2312" w:hint="eastAsia"/>
                <w:sz w:val="24"/>
                <w:szCs w:val="24"/>
              </w:rPr>
              <w:t>鑫逸稳</w:t>
            </w:r>
            <w:proofErr w:type="gramEnd"/>
            <w:r>
              <w:rPr>
                <w:rFonts w:ascii="方正仿宋_GBK" w:eastAsia="方正仿宋_GBK" w:hAnsi="仿宋_GB2312" w:cs="仿宋_GB2312" w:hint="eastAsia"/>
                <w:sz w:val="24"/>
                <w:szCs w:val="24"/>
              </w:rPr>
              <w:t>一年80期封闭式公募人民币理财产品</w:t>
            </w:r>
          </w:p>
        </w:tc>
      </w:tr>
      <w:tr w:rsidR="00B31DA4" w:rsidTr="006A7A9E">
        <w:trPr>
          <w:trHeight w:val="1300"/>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产品登记编码</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Z7003222000065（投资者可依据该编码在中国理财网www.chinawealth.com.cn查询理财产品相关信息）</w:t>
            </w:r>
          </w:p>
        </w:tc>
      </w:tr>
      <w:tr w:rsidR="00B31DA4" w:rsidTr="006A7A9E">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产品运作方式</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封闭式净值型</w:t>
            </w:r>
          </w:p>
        </w:tc>
      </w:tr>
      <w:tr w:rsidR="00B31DA4" w:rsidTr="006A7A9E">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产品成立日</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2022年09月28日</w:t>
            </w:r>
          </w:p>
        </w:tc>
      </w:tr>
      <w:tr w:rsidR="00B31DA4" w:rsidTr="006A7A9E">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报告期末产品份额总额</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894,093,267.00份</w:t>
            </w:r>
          </w:p>
        </w:tc>
      </w:tr>
      <w:tr w:rsidR="00B31DA4" w:rsidTr="006A7A9E">
        <w:trPr>
          <w:trHeight w:val="688"/>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合作机构</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鑫元基金管理有限公司、鹏华基金管理有限公司</w:t>
            </w:r>
          </w:p>
        </w:tc>
      </w:tr>
      <w:tr w:rsidR="00B31DA4" w:rsidTr="006A7A9E">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产品管理人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南银理财有限责任公司</w:t>
            </w:r>
          </w:p>
        </w:tc>
      </w:tr>
      <w:tr w:rsidR="00B31DA4" w:rsidTr="006A7A9E">
        <w:trPr>
          <w:trHeight w:val="714"/>
          <w:jc w:val="center"/>
        </w:trPr>
        <w:tc>
          <w:tcPr>
            <w:tcW w:w="2719"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产品托管人</w:t>
            </w:r>
          </w:p>
        </w:tc>
        <w:tc>
          <w:tcPr>
            <w:tcW w:w="6178" w:type="dxa"/>
            <w:vAlign w:val="center"/>
          </w:tcPr>
          <w:p w:rsidR="00B31DA4" w:rsidRDefault="007816A9" w:rsidP="0031044B">
            <w:pPr>
              <w:spacing w:beforeLines="20" w:before="48" w:afterLines="20" w:after="48"/>
              <w:jc w:val="left"/>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南京银行股份有限公司</w:t>
            </w:r>
          </w:p>
        </w:tc>
      </w:tr>
    </w:tbl>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§2  主要财务指标</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2.1 主要财务指标</w:t>
      </w:r>
    </w:p>
    <w:p w:rsidR="00B31DA4" w:rsidRDefault="007816A9" w:rsidP="00675A8D">
      <w:pPr>
        <w:spacing w:before="240" w:after="72" w:line="360" w:lineRule="auto"/>
        <w:jc w:val="right"/>
        <w:rPr>
          <w:rFonts w:ascii="方正仿宋_GBK" w:eastAsia="方正仿宋_GBK" w:cs="宋体"/>
          <w:kern w:val="0"/>
          <w:sz w:val="24"/>
          <w:szCs w:val="24"/>
        </w:rPr>
      </w:pPr>
      <w:r>
        <w:rPr>
          <w:rFonts w:ascii="方正仿宋_GBK" w:eastAsia="方正仿宋_GBK" w:cs="宋体" w:hint="eastAsia"/>
          <w:kern w:val="0"/>
          <w:sz w:val="24"/>
          <w:szCs w:val="24"/>
        </w:rPr>
        <w:t>单位：人民币元</w:t>
      </w:r>
    </w:p>
    <w:tbl>
      <w:tblPr>
        <w:tblpPr w:leftFromText="180" w:rightFromText="180" w:vertAnchor="text" w:tblpXSpec="center" w:tblpY="1"/>
        <w:tblOverlap w:val="never"/>
        <w:tblW w:w="9067"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1838"/>
        <w:gridCol w:w="2693"/>
        <w:gridCol w:w="2410"/>
        <w:gridCol w:w="2126"/>
      </w:tblGrid>
      <w:tr w:rsidR="00B31DA4" w:rsidTr="00E2696A">
        <w:trPr>
          <w:trHeight w:val="699"/>
          <w:jc w:val="center"/>
        </w:trPr>
        <w:tc>
          <w:tcPr>
            <w:tcW w:w="1838" w:type="dxa"/>
            <w:vMerge w:val="restart"/>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内部销售代码</w:t>
            </w:r>
          </w:p>
        </w:tc>
        <w:tc>
          <w:tcPr>
            <w:tcW w:w="7229" w:type="dxa"/>
            <w:gridSpan w:val="3"/>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报告期（2022年10月01日 - 2022年12月31日）</w:t>
            </w:r>
          </w:p>
        </w:tc>
      </w:tr>
      <w:tr w:rsidR="00B31DA4" w:rsidTr="00E2696A">
        <w:trPr>
          <w:trHeight w:val="1697"/>
          <w:jc w:val="center"/>
        </w:trPr>
        <w:tc>
          <w:tcPr>
            <w:tcW w:w="1838" w:type="dxa"/>
            <w:vMerge/>
            <w:vAlign w:val="center"/>
          </w:tcPr>
          <w:p w:rsidR="00B31DA4" w:rsidRDefault="00B31DA4" w:rsidP="0031044B">
            <w:pPr>
              <w:spacing w:beforeLines="20" w:before="48" w:afterLines="20" w:after="48"/>
              <w:jc w:val="center"/>
              <w:rPr>
                <w:rFonts w:ascii="方正仿宋_GBK" w:eastAsia="方正仿宋_GBK" w:hAnsi="仿宋_GB2312" w:cs="仿宋_GB2312"/>
                <w:sz w:val="24"/>
                <w:szCs w:val="24"/>
              </w:rPr>
            </w:pPr>
          </w:p>
        </w:tc>
        <w:tc>
          <w:tcPr>
            <w:tcW w:w="269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1.期末产品最后一个市场交易日资产净值</w:t>
            </w:r>
          </w:p>
        </w:tc>
        <w:tc>
          <w:tcPr>
            <w:tcW w:w="241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2.期末产品最后一个市场交易日份额净值</w:t>
            </w:r>
          </w:p>
        </w:tc>
        <w:tc>
          <w:tcPr>
            <w:tcW w:w="212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3.期末产品最后一个市场交易日份额累计净值</w:t>
            </w:r>
          </w:p>
        </w:tc>
      </w:tr>
      <w:tr w:rsidR="00164E46">
        <w:trPr>
          <w:trHeight w:val="565"/>
          <w:jc w:val="center"/>
        </w:trPr>
        <w:tc>
          <w:tcPr>
            <w:tcW w:w="1838"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Y30080</w:t>
            </w:r>
          </w:p>
        </w:tc>
        <w:tc>
          <w:tcPr>
            <w:tcW w:w="2693"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45,294,111.42</w:t>
            </w:r>
          </w:p>
        </w:tc>
        <w:tc>
          <w:tcPr>
            <w:tcW w:w="2410"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0.9995</w:t>
            </w:r>
          </w:p>
        </w:tc>
        <w:tc>
          <w:tcPr>
            <w:tcW w:w="2126"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0.9995</w:t>
            </w:r>
          </w:p>
        </w:tc>
      </w:tr>
      <w:tr w:rsidR="00164E46">
        <w:trPr>
          <w:trHeight w:val="565"/>
          <w:jc w:val="center"/>
        </w:trPr>
        <w:tc>
          <w:tcPr>
            <w:tcW w:w="1838"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lastRenderedPageBreak/>
              <w:t>Y31080</w:t>
            </w:r>
          </w:p>
        </w:tc>
        <w:tc>
          <w:tcPr>
            <w:tcW w:w="2693"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698,826,922.37</w:t>
            </w:r>
          </w:p>
        </w:tc>
        <w:tc>
          <w:tcPr>
            <w:tcW w:w="2410"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1.0000</w:t>
            </w:r>
          </w:p>
        </w:tc>
        <w:tc>
          <w:tcPr>
            <w:tcW w:w="2126"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1.0000</w:t>
            </w:r>
          </w:p>
        </w:tc>
      </w:tr>
      <w:tr w:rsidR="00164E46">
        <w:trPr>
          <w:trHeight w:val="565"/>
          <w:jc w:val="center"/>
        </w:trPr>
        <w:tc>
          <w:tcPr>
            <w:tcW w:w="1838"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Y32080</w:t>
            </w:r>
          </w:p>
        </w:tc>
        <w:tc>
          <w:tcPr>
            <w:tcW w:w="2693"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150,048,939.34</w:t>
            </w:r>
          </w:p>
        </w:tc>
        <w:tc>
          <w:tcPr>
            <w:tcW w:w="2410"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1.0003</w:t>
            </w:r>
          </w:p>
        </w:tc>
        <w:tc>
          <w:tcPr>
            <w:tcW w:w="2126"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1.0003</w:t>
            </w:r>
          </w:p>
        </w:tc>
      </w:tr>
    </w:tbl>
    <w:p w:rsidR="00B31DA4" w:rsidRDefault="007816A9" w:rsidP="00675A8D">
      <w:pPr>
        <w:pStyle w:val="biaogeleft"/>
        <w:spacing w:before="240" w:after="72" w:line="360" w:lineRule="auto"/>
        <w:ind w:left="0"/>
        <w:rPr>
          <w:rFonts w:ascii="方正仿宋_GBK" w:eastAsia="方正仿宋_GBK"/>
        </w:rPr>
      </w:pPr>
      <w:r>
        <w:rPr>
          <w:rFonts w:ascii="方正仿宋_GBK" w:eastAsia="方正仿宋_GBK" w:hAnsiTheme="minorHAnsi" w:cstheme="minorBidi" w:hint="eastAsia"/>
          <w:kern w:val="2"/>
        </w:rPr>
        <w:lastRenderedPageBreak/>
        <w:t>注：产品净值可能存在未扣除管理人及投资合作机构业绩报酬、赎回费等费用（如有）的情况，实际收益以兑付为准。</w:t>
      </w:r>
    </w:p>
    <w:p w:rsidR="00B31DA4"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§3  管理人报告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3.1 报告期内产品的投资策略和运作分析</w:t>
      </w:r>
    </w:p>
    <w:p w:rsidR="0047213E" w:rsidRDefault="007816A9" w:rsidP="0047213E">
      <w:pPr>
        <w:spacing w:before="240" w:after="72" w:line="360" w:lineRule="auto"/>
        <w:ind w:firstLine="41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ascii="方正仿宋_GBK" w:eastAsia="方正仿宋_GBK" w:hAnsiTheme="minorHAnsi" w:cstheme="minorBidi" w:hint="eastAsia"/>
          <w:sz w:val="24"/>
          <w:szCs w:val="24"/>
        </w:rPr>
        <w:br w:type="textWrapping" w:clear="all"/>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w:t>
      </w:r>
      <w:r>
        <w:rPr>
          <w:rFonts w:ascii="方正仿宋_GBK" w:eastAsia="方正仿宋_GBK" w:hAnsiTheme="minorHAnsi" w:cstheme="minorBidi" w:hint="eastAsia"/>
          <w:sz w:val="24"/>
          <w:szCs w:val="24"/>
        </w:rPr>
        <w:lastRenderedPageBreak/>
        <w:t>部出口压力等数据及两会前后政策层面的变化。</w:t>
      </w:r>
      <w:r>
        <w:rPr>
          <w:rFonts w:ascii="方正仿宋_GBK" w:eastAsia="方正仿宋_GBK" w:hAnsiTheme="minorHAnsi" w:cstheme="minorBidi" w:hint="eastAsia"/>
          <w:sz w:val="24"/>
          <w:szCs w:val="24"/>
        </w:rPr>
        <w:br w:type="textWrapping" w:clear="all"/>
        <w:t xml:space="preserve">    报告期内，本产品以帮客户实现稳定收益为目标，力求产品净值的稳定增长，产品主要投资于定制债券专户及优质非标债权资产，其中专户严把信用风险、注重分散投资、灵活管理久期，非标债权资产严选标的、锁定收益。</w:t>
      </w:r>
    </w:p>
    <w:p w:rsidR="00B31DA4" w:rsidRDefault="007816A9" w:rsidP="0047213E">
      <w:pPr>
        <w:spacing w:before="240" w:after="72" w:line="360" w:lineRule="auto"/>
        <w:rPr>
          <w:rFonts w:ascii="方正仿宋_GBK" w:eastAsia="方正仿宋_GBK"/>
          <w:b/>
          <w:sz w:val="24"/>
          <w:szCs w:val="24"/>
        </w:rPr>
      </w:pPr>
      <w:bookmarkStart w:id="0" w:name="_GoBack"/>
      <w:bookmarkEnd w:id="0"/>
      <w:r>
        <w:rPr>
          <w:rFonts w:ascii="方正仿宋_GBK" w:eastAsia="方正仿宋_GBK" w:hint="eastAsia"/>
          <w:b/>
          <w:sz w:val="24"/>
          <w:szCs w:val="24"/>
        </w:rPr>
        <w:t>3.2 报告期内产品的流动性风险分析</w:t>
      </w:r>
    </w:p>
    <w:p w:rsidR="00B31DA4" w:rsidRDefault="007816A9" w:rsidP="00675A8D">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w:t>
      </w:r>
      <w:r>
        <w:rPr>
          <w:rFonts w:ascii="方正仿宋_GBK" w:eastAsia="方正仿宋_GBK" w:hAnsiTheme="minorHAnsi" w:cstheme="minorBidi"/>
          <w:sz w:val="24"/>
          <w:szCs w:val="24"/>
        </w:rPr>
        <w:t xml:space="preserve">   本理财产品主要投向具有良好流动性的标准化债券资产和非标债权资产，其中非标债权资产的投资比例不超过说明书约定的比例上限，资产到期日不晚于本理财产品的到期日，流动性风险可控。</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3.3 报告期内产品的业绩表现</w:t>
      </w:r>
    </w:p>
    <w:p w:rsidR="00B31DA4" w:rsidRDefault="007816A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截至报告期末，本产品Y30080份额净值为0.9995元，Y31080份额净值为1.0000元，Y32080份额净值为1.0003元。</w:t>
      </w:r>
    </w:p>
    <w:p w:rsidR="00B31DA4" w:rsidRDefault="00B31DA4" w:rsidP="00675A8D">
      <w:pPr>
        <w:spacing w:before="240" w:after="72" w:line="360" w:lineRule="auto"/>
        <w:rPr>
          <w:rFonts w:ascii="方正仿宋_GBK" w:eastAsia="方正仿宋_GBK" w:hAnsi="宋体"/>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Ansi="Calibri" w:hint="eastAsia"/>
          <w:b/>
          <w:sz w:val="24"/>
          <w:szCs w:val="24"/>
        </w:rPr>
        <w:t>§4  投资组合报告</w:t>
      </w: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45"/>
        <w:gridCol w:w="1859"/>
        <w:gridCol w:w="3002"/>
        <w:gridCol w:w="3289"/>
      </w:tblGrid>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资产类别</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proofErr w:type="gramStart"/>
            <w:r>
              <w:rPr>
                <w:rFonts w:ascii="方正仿宋_GBK" w:eastAsia="方正仿宋_GBK" w:hAnsi="仿宋_GB2312" w:cs="仿宋_GB2312" w:hint="eastAsia"/>
                <w:sz w:val="24"/>
                <w:szCs w:val="24"/>
              </w:rPr>
              <w:t>穿透前占总</w:t>
            </w:r>
            <w:proofErr w:type="gramEnd"/>
            <w:r>
              <w:rPr>
                <w:rFonts w:ascii="方正仿宋_GBK" w:eastAsia="方正仿宋_GBK" w:hAnsi="仿宋_GB2312" w:cs="仿宋_GB2312" w:hint="eastAsia"/>
                <w:sz w:val="24"/>
                <w:szCs w:val="24"/>
              </w:rPr>
              <w:t>资产比例</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穿透后占总资产比例</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固定收益类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权益类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商品及金融衍生品类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混合类</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0.00%</w:t>
            </w:r>
          </w:p>
        </w:tc>
      </w:tr>
      <w:tr w:rsidR="00A21516" w:rsidTr="0031044B">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合计</w:t>
            </w:r>
          </w:p>
        </w:tc>
        <w:tc>
          <w:tcPr>
            <w:tcW w:w="2976"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c>
          <w:tcPr>
            <w:tcW w:w="3261" w:type="dxa"/>
            <w:tcBorders>
              <w:top w:val="single" w:sz="4" w:space="0" w:color="auto"/>
              <w:left w:val="single" w:sz="4" w:space="0" w:color="auto"/>
              <w:bottom w:val="single" w:sz="4" w:space="0" w:color="auto"/>
              <w:right w:val="single" w:sz="4" w:space="0" w:color="auto"/>
            </w:tcBorders>
            <w:vAlign w:val="center"/>
            <w:hideMark/>
          </w:tcPr>
          <w:p w:rsidR="00A21516" w:rsidRDefault="00A21516"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100.00%</w:t>
            </w:r>
          </w:p>
        </w:tc>
      </w:tr>
    </w:tbl>
    <w:p w:rsidR="00B31DA4" w:rsidRPr="00A21516" w:rsidRDefault="00B31DA4" w:rsidP="00675A8D">
      <w:pPr>
        <w:spacing w:before="240" w:after="72" w:line="360" w:lineRule="auto"/>
        <w:rPr>
          <w:rFonts w:ascii="方正仿宋_GBK" w:eastAsia="方正仿宋_GBK"/>
          <w:sz w:val="24"/>
          <w:szCs w:val="24"/>
        </w:rPr>
      </w:pPr>
    </w:p>
    <w:p w:rsidR="00B31DA4" w:rsidRDefault="007816A9" w:rsidP="00675A8D">
      <w:pPr>
        <w:spacing w:before="240" w:after="72" w:line="360" w:lineRule="auto"/>
        <w:rPr>
          <w:rFonts w:ascii="方正仿宋_GBK" w:eastAsia="方正仿宋_GBK"/>
          <w:b/>
          <w:sz w:val="24"/>
          <w:szCs w:val="24"/>
        </w:rPr>
      </w:pPr>
      <w:r>
        <w:rPr>
          <w:rFonts w:ascii="方正仿宋_GBK" w:eastAsia="方正仿宋_GBK"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750"/>
        <w:gridCol w:w="1581"/>
        <w:gridCol w:w="2712"/>
        <w:gridCol w:w="2052"/>
        <w:gridCol w:w="1807"/>
      </w:tblGrid>
      <w:tr w:rsidR="00B31DA4" w:rsidTr="0031044B">
        <w:trPr>
          <w:trHeight w:val="1233"/>
          <w:jc w:val="center"/>
        </w:trPr>
        <w:tc>
          <w:tcPr>
            <w:tcW w:w="75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58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代码</w:t>
            </w:r>
          </w:p>
        </w:tc>
        <w:tc>
          <w:tcPr>
            <w:tcW w:w="272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名称</w:t>
            </w:r>
          </w:p>
        </w:tc>
        <w:tc>
          <w:tcPr>
            <w:tcW w:w="2058"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公允价值（元）</w:t>
            </w:r>
          </w:p>
        </w:tc>
        <w:tc>
          <w:tcPr>
            <w:tcW w:w="1812"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占产品资产净值比例（％）</w:t>
            </w:r>
          </w:p>
        </w:tc>
      </w:tr>
      <w:tr w:rsidR="00164E46">
        <w:trPr>
          <w:trHeight w:val="583"/>
          <w:jc w:val="center"/>
        </w:trPr>
        <w:tc>
          <w:tcPr>
            <w:tcW w:w="751"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585"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ZZGJT202005290001</w:t>
            </w:r>
          </w:p>
        </w:tc>
        <w:tc>
          <w:tcPr>
            <w:tcW w:w="2720"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proofErr w:type="gramStart"/>
            <w:r>
              <w:rPr>
                <w:rFonts w:ascii="方正仿宋_GBK" w:eastAsia="方正仿宋_GBK" w:hAnsi="方正仿宋_GBK" w:cs="方正仿宋_GBK"/>
                <w:sz w:val="24"/>
              </w:rPr>
              <w:t>鑫元基金-鑫</w:t>
            </w:r>
            <w:proofErr w:type="gramEnd"/>
            <w:r>
              <w:rPr>
                <w:rFonts w:ascii="方正仿宋_GBK" w:eastAsia="方正仿宋_GBK" w:hAnsi="方正仿宋_GBK" w:cs="方正仿宋_GBK"/>
                <w:sz w:val="24"/>
              </w:rPr>
              <w:t>安利得51号</w:t>
            </w:r>
          </w:p>
        </w:tc>
        <w:tc>
          <w:tcPr>
            <w:tcW w:w="2058"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406,963,697.34</w:t>
            </w:r>
          </w:p>
        </w:tc>
        <w:tc>
          <w:tcPr>
            <w:tcW w:w="1812"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45.51</w:t>
            </w:r>
          </w:p>
        </w:tc>
      </w:tr>
      <w:tr w:rsidR="00164E46">
        <w:trPr>
          <w:trHeight w:val="583"/>
          <w:jc w:val="center"/>
        </w:trPr>
        <w:tc>
          <w:tcPr>
            <w:tcW w:w="751"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585"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22881280</w:t>
            </w:r>
          </w:p>
        </w:tc>
        <w:tc>
          <w:tcPr>
            <w:tcW w:w="2720"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22泰华信05</w:t>
            </w:r>
          </w:p>
        </w:tc>
        <w:tc>
          <w:tcPr>
            <w:tcW w:w="2058"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191,000,000.00</w:t>
            </w:r>
          </w:p>
        </w:tc>
        <w:tc>
          <w:tcPr>
            <w:tcW w:w="1812"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21.36</w:t>
            </w:r>
          </w:p>
        </w:tc>
      </w:tr>
      <w:tr w:rsidR="00164E46">
        <w:trPr>
          <w:trHeight w:val="583"/>
          <w:jc w:val="center"/>
        </w:trPr>
        <w:tc>
          <w:tcPr>
            <w:tcW w:w="751"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585"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22881278</w:t>
            </w:r>
          </w:p>
        </w:tc>
        <w:tc>
          <w:tcPr>
            <w:tcW w:w="2720"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22建德国资04</w:t>
            </w:r>
          </w:p>
        </w:tc>
        <w:tc>
          <w:tcPr>
            <w:tcW w:w="2058"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100,000,000.00</w:t>
            </w:r>
          </w:p>
        </w:tc>
        <w:tc>
          <w:tcPr>
            <w:tcW w:w="1812"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11.18</w:t>
            </w:r>
          </w:p>
        </w:tc>
      </w:tr>
      <w:tr w:rsidR="00164E46">
        <w:trPr>
          <w:trHeight w:val="583"/>
          <w:jc w:val="center"/>
        </w:trPr>
        <w:tc>
          <w:tcPr>
            <w:tcW w:w="751"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w:t>
            </w:r>
          </w:p>
        </w:tc>
        <w:tc>
          <w:tcPr>
            <w:tcW w:w="1585"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22881276</w:t>
            </w:r>
          </w:p>
        </w:tc>
        <w:tc>
          <w:tcPr>
            <w:tcW w:w="2720"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22滨江投资13</w:t>
            </w:r>
          </w:p>
        </w:tc>
        <w:tc>
          <w:tcPr>
            <w:tcW w:w="2058"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70,000,000.00</w:t>
            </w:r>
          </w:p>
        </w:tc>
        <w:tc>
          <w:tcPr>
            <w:tcW w:w="1812"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7.83</w:t>
            </w:r>
          </w:p>
        </w:tc>
      </w:tr>
      <w:tr w:rsidR="00164E46">
        <w:trPr>
          <w:trHeight w:val="583"/>
          <w:jc w:val="center"/>
        </w:trPr>
        <w:tc>
          <w:tcPr>
            <w:tcW w:w="751"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w:t>
            </w:r>
          </w:p>
        </w:tc>
        <w:tc>
          <w:tcPr>
            <w:tcW w:w="1585"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22881316</w:t>
            </w:r>
          </w:p>
        </w:tc>
        <w:tc>
          <w:tcPr>
            <w:tcW w:w="2720"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22桐庐国资01</w:t>
            </w:r>
          </w:p>
        </w:tc>
        <w:tc>
          <w:tcPr>
            <w:tcW w:w="2058"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69,000,000.00</w:t>
            </w:r>
          </w:p>
        </w:tc>
        <w:tc>
          <w:tcPr>
            <w:tcW w:w="1812"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7.72</w:t>
            </w:r>
          </w:p>
        </w:tc>
      </w:tr>
      <w:tr w:rsidR="00164E46">
        <w:trPr>
          <w:trHeight w:val="583"/>
          <w:jc w:val="center"/>
        </w:trPr>
        <w:tc>
          <w:tcPr>
            <w:tcW w:w="751"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6</w:t>
            </w:r>
          </w:p>
        </w:tc>
        <w:tc>
          <w:tcPr>
            <w:tcW w:w="1585" w:type="dxa"/>
            <w:shd w:val="clear" w:color="auto" w:fill="auto"/>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ZJQTT202103180001</w:t>
            </w:r>
          </w:p>
        </w:tc>
        <w:tc>
          <w:tcPr>
            <w:tcW w:w="2720"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鹏华基金南华1号集合资产管理计划</w:t>
            </w:r>
          </w:p>
        </w:tc>
        <w:tc>
          <w:tcPr>
            <w:tcW w:w="2058"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49,464,386.38</w:t>
            </w:r>
          </w:p>
        </w:tc>
        <w:tc>
          <w:tcPr>
            <w:tcW w:w="1812" w:type="dxa"/>
            <w:shd w:val="clear" w:color="000000" w:fill="FFFFFF"/>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5.53</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rPr>
          <w:rFonts w:ascii="方正仿宋_GBK" w:eastAsia="方正仿宋_GBK" w:hAnsi="宋体" w:cs="宋体"/>
          <w:b/>
          <w:sz w:val="24"/>
          <w:szCs w:val="24"/>
          <w:shd w:val="clear" w:color="auto" w:fill="FFFFFF"/>
        </w:rPr>
      </w:pPr>
      <w:r>
        <w:rPr>
          <w:rFonts w:ascii="方正仿宋_GBK" w:eastAsia="方正仿宋_GBK" w:hAnsi="宋体" w:cs="宋体" w:hint="eastAsia"/>
          <w:b/>
          <w:sz w:val="24"/>
          <w:szCs w:val="24"/>
          <w:shd w:val="clear" w:color="auto" w:fill="FFFFFF"/>
        </w:rPr>
        <w:t>4.3报告期末非标准化债权类资产明细</w:t>
      </w:r>
    </w:p>
    <w:tbl>
      <w:tblPr>
        <w:tblpPr w:leftFromText="180" w:rightFromText="180" w:vertAnchor="text" w:tblpXSpec="center" w:tblpY="1"/>
        <w:tblOverlap w:val="never"/>
        <w:tblW w:w="8926"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77"/>
        <w:gridCol w:w="1704"/>
        <w:gridCol w:w="1275"/>
        <w:gridCol w:w="1540"/>
        <w:gridCol w:w="1383"/>
        <w:gridCol w:w="1271"/>
        <w:gridCol w:w="876"/>
      </w:tblGrid>
      <w:tr w:rsidR="00B31DA4" w:rsidTr="007816A9">
        <w:trPr>
          <w:trHeight w:val="1078"/>
          <w:jc w:val="center"/>
        </w:trPr>
        <w:tc>
          <w:tcPr>
            <w:tcW w:w="877"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序号</w:t>
            </w:r>
          </w:p>
        </w:tc>
        <w:tc>
          <w:tcPr>
            <w:tcW w:w="1704"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融资客户</w:t>
            </w:r>
          </w:p>
        </w:tc>
        <w:tc>
          <w:tcPr>
            <w:tcW w:w="1275"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项目名称</w:t>
            </w:r>
          </w:p>
        </w:tc>
        <w:tc>
          <w:tcPr>
            <w:tcW w:w="1540"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剩余融资期限（</w:t>
            </w:r>
            <w:r>
              <w:rPr>
                <w:rFonts w:ascii="方正仿宋_GBK" w:eastAsia="方正仿宋_GBK" w:hAnsi="仿宋_GB2312" w:cs="仿宋_GB2312"/>
                <w:sz w:val="24"/>
                <w:szCs w:val="24"/>
              </w:rPr>
              <w:t>天）</w:t>
            </w:r>
          </w:p>
        </w:tc>
        <w:tc>
          <w:tcPr>
            <w:tcW w:w="1383"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到期收益分配</w:t>
            </w:r>
          </w:p>
        </w:tc>
        <w:tc>
          <w:tcPr>
            <w:tcW w:w="1271"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交易结构</w:t>
            </w:r>
          </w:p>
        </w:tc>
        <w:tc>
          <w:tcPr>
            <w:tcW w:w="876" w:type="dxa"/>
            <w:vAlign w:val="center"/>
          </w:tcPr>
          <w:p w:rsidR="00B31DA4" w:rsidRDefault="007816A9" w:rsidP="0031044B">
            <w:pPr>
              <w:spacing w:beforeLines="20" w:before="48" w:afterLines="20" w:after="48"/>
              <w:jc w:val="center"/>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风险状况</w:t>
            </w:r>
          </w:p>
        </w:tc>
      </w:tr>
      <w:tr w:rsidR="00164E46">
        <w:trPr>
          <w:trHeight w:val="571"/>
          <w:jc w:val="center"/>
        </w:trPr>
        <w:tc>
          <w:tcPr>
            <w:tcW w:w="877"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1</w:t>
            </w:r>
          </w:p>
        </w:tc>
        <w:tc>
          <w:tcPr>
            <w:tcW w:w="1704"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建德市国有资产经营有限公司</w:t>
            </w:r>
          </w:p>
        </w:tc>
        <w:tc>
          <w:tcPr>
            <w:tcW w:w="1275"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22建德国资04</w:t>
            </w:r>
          </w:p>
        </w:tc>
        <w:tc>
          <w:tcPr>
            <w:tcW w:w="1540"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273</w:t>
            </w:r>
          </w:p>
        </w:tc>
        <w:tc>
          <w:tcPr>
            <w:tcW w:w="1383"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利随本清</w:t>
            </w:r>
          </w:p>
        </w:tc>
        <w:tc>
          <w:tcPr>
            <w:tcW w:w="1271"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164E46">
        <w:trPr>
          <w:trHeight w:val="571"/>
          <w:jc w:val="center"/>
        </w:trPr>
        <w:tc>
          <w:tcPr>
            <w:tcW w:w="877"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w:t>
            </w:r>
          </w:p>
        </w:tc>
        <w:tc>
          <w:tcPr>
            <w:tcW w:w="1704"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南京滨江投资发展有限公司</w:t>
            </w:r>
          </w:p>
        </w:tc>
        <w:tc>
          <w:tcPr>
            <w:tcW w:w="1275"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22滨江投资13</w:t>
            </w:r>
          </w:p>
        </w:tc>
        <w:tc>
          <w:tcPr>
            <w:tcW w:w="1540"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273</w:t>
            </w:r>
          </w:p>
        </w:tc>
        <w:tc>
          <w:tcPr>
            <w:tcW w:w="1383"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利随本清</w:t>
            </w:r>
          </w:p>
        </w:tc>
        <w:tc>
          <w:tcPr>
            <w:tcW w:w="1271"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164E46">
        <w:trPr>
          <w:trHeight w:val="571"/>
          <w:jc w:val="center"/>
        </w:trPr>
        <w:tc>
          <w:tcPr>
            <w:tcW w:w="877"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3</w:t>
            </w:r>
          </w:p>
        </w:tc>
        <w:tc>
          <w:tcPr>
            <w:tcW w:w="1704"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桐庐县国有资产投资经营有限公司</w:t>
            </w:r>
          </w:p>
        </w:tc>
        <w:tc>
          <w:tcPr>
            <w:tcW w:w="1275"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22桐庐国资01</w:t>
            </w:r>
          </w:p>
        </w:tc>
        <w:tc>
          <w:tcPr>
            <w:tcW w:w="1540"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294</w:t>
            </w:r>
          </w:p>
        </w:tc>
        <w:tc>
          <w:tcPr>
            <w:tcW w:w="1383"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利随本清</w:t>
            </w:r>
          </w:p>
        </w:tc>
        <w:tc>
          <w:tcPr>
            <w:tcW w:w="1271"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r w:rsidR="00164E46">
        <w:trPr>
          <w:trHeight w:val="571"/>
          <w:jc w:val="center"/>
        </w:trPr>
        <w:tc>
          <w:tcPr>
            <w:tcW w:w="877"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lastRenderedPageBreak/>
              <w:t>4</w:t>
            </w:r>
          </w:p>
        </w:tc>
        <w:tc>
          <w:tcPr>
            <w:tcW w:w="1704"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泰州华信药业投资有限公司</w:t>
            </w:r>
          </w:p>
        </w:tc>
        <w:tc>
          <w:tcPr>
            <w:tcW w:w="1275"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22泰华信05</w:t>
            </w:r>
          </w:p>
        </w:tc>
        <w:tc>
          <w:tcPr>
            <w:tcW w:w="1540"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273</w:t>
            </w:r>
          </w:p>
        </w:tc>
        <w:tc>
          <w:tcPr>
            <w:tcW w:w="1383"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利随本清</w:t>
            </w:r>
          </w:p>
        </w:tc>
        <w:tc>
          <w:tcPr>
            <w:tcW w:w="1271"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理财直接融资工具</w:t>
            </w:r>
          </w:p>
        </w:tc>
        <w:tc>
          <w:tcPr>
            <w:tcW w:w="876" w:type="dxa"/>
            <w:vAlign w:val="center"/>
          </w:tcPr>
          <w:p w:rsidR="00164E46" w:rsidRDefault="006F774E">
            <w:pPr>
              <w:spacing w:beforeLines="20" w:before="48" w:afterLines="20" w:after="48"/>
              <w:jc w:val="center"/>
              <w:textAlignment w:val="center"/>
              <w:rPr>
                <w:rFonts w:ascii="方正仿宋_GBK" w:eastAsia="方正仿宋_GBK" w:hAnsi="仿宋_GB2312" w:cs="仿宋_GB2312"/>
                <w:sz w:val="24"/>
                <w:szCs w:val="24"/>
              </w:rPr>
            </w:pPr>
            <w:r>
              <w:rPr>
                <w:rFonts w:ascii="方正仿宋_GBK" w:eastAsia="方正仿宋_GBK" w:hAnsi="方正仿宋_GBK" w:cs="方正仿宋_GBK"/>
                <w:sz w:val="24"/>
              </w:rPr>
              <w:t>-</w:t>
            </w:r>
          </w:p>
        </w:tc>
      </w:tr>
    </w:tbl>
    <w:p w:rsidR="00B31DA4" w:rsidRDefault="00B31DA4" w:rsidP="00675A8D">
      <w:pPr>
        <w:spacing w:before="240" w:after="72" w:line="360" w:lineRule="auto"/>
        <w:rPr>
          <w:rFonts w:ascii="方正仿宋_GBK" w:eastAsia="方正仿宋_GBK" w:hAnsi="宋体" w:cs="宋体"/>
          <w:sz w:val="24"/>
          <w:szCs w:val="24"/>
          <w:shd w:val="clear" w:color="auto" w:fill="FFFFFF"/>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§5 投资账户信息</w:t>
      </w:r>
    </w:p>
    <w:tbl>
      <w:tblPr>
        <w:tblpPr w:leftFromText="180" w:rightFromText="180" w:vertAnchor="text" w:tblpXSpec="center" w:tblpY="1"/>
        <w:tblOverlap w:val="never"/>
        <w:tblW w:w="8902" w:type="dxa"/>
        <w:jc w:val="center"/>
        <w:tblBorders>
          <w:top w:val="single" w:sz="1" w:space="0" w:color="000000"/>
          <w:left w:val="single" w:sz="1" w:space="0" w:color="000000"/>
          <w:bottom w:val="single" w:sz="1" w:space="0" w:color="000000"/>
          <w:right w:val="single" w:sz="1" w:space="0" w:color="000000"/>
          <w:insideH w:val="single" w:sz="4" w:space="0" w:color="auto"/>
          <w:insideV w:val="single" w:sz="4" w:space="0" w:color="auto"/>
        </w:tblBorders>
        <w:tblLayout w:type="fixed"/>
        <w:tblLook w:val="04A0" w:firstRow="1" w:lastRow="0" w:firstColumn="1" w:lastColumn="0" w:noHBand="0" w:noVBand="1"/>
      </w:tblPr>
      <w:tblGrid>
        <w:gridCol w:w="846"/>
        <w:gridCol w:w="1417"/>
        <w:gridCol w:w="2668"/>
        <w:gridCol w:w="1983"/>
        <w:gridCol w:w="1988"/>
      </w:tblGrid>
      <w:tr w:rsidR="000532CC" w:rsidTr="00531855">
        <w:trPr>
          <w:trHeight w:val="584"/>
          <w:jc w:val="center"/>
        </w:trPr>
        <w:tc>
          <w:tcPr>
            <w:tcW w:w="846"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序号</w:t>
            </w:r>
          </w:p>
        </w:tc>
        <w:tc>
          <w:tcPr>
            <w:tcW w:w="1417"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账户类型</w:t>
            </w:r>
          </w:p>
        </w:tc>
        <w:tc>
          <w:tcPr>
            <w:tcW w:w="266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账号</w:t>
            </w:r>
          </w:p>
        </w:tc>
        <w:tc>
          <w:tcPr>
            <w:tcW w:w="1983"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账户名称</w:t>
            </w:r>
          </w:p>
        </w:tc>
        <w:tc>
          <w:tcPr>
            <w:tcW w:w="1988" w:type="dxa"/>
            <w:vAlign w:val="center"/>
          </w:tcPr>
          <w:p w:rsidR="000532CC" w:rsidRDefault="000532CC" w:rsidP="00A21516">
            <w:pPr>
              <w:spacing w:beforeLines="20" w:before="48" w:afterLines="20" w:after="48"/>
              <w:jc w:val="center"/>
              <w:rPr>
                <w:rFonts w:ascii="方正仿宋_GBK" w:eastAsia="方正仿宋_GBK" w:hAnsi="Calibri"/>
                <w:sz w:val="24"/>
                <w:szCs w:val="24"/>
                <w:shd w:val="clear" w:color="auto" w:fill="FFFFFF"/>
              </w:rPr>
            </w:pPr>
            <w:r>
              <w:rPr>
                <w:rFonts w:ascii="方正仿宋_GBK" w:eastAsia="方正仿宋_GBK" w:hAnsi="Calibri" w:hint="eastAsia"/>
                <w:sz w:val="24"/>
                <w:szCs w:val="24"/>
                <w:shd w:val="clear" w:color="auto" w:fill="FFFFFF"/>
              </w:rPr>
              <w:t>开户单位</w:t>
            </w:r>
          </w:p>
        </w:tc>
      </w:tr>
      <w:tr w:rsidR="00164E46">
        <w:trPr>
          <w:trHeight w:val="584"/>
          <w:jc w:val="center"/>
        </w:trPr>
        <w:tc>
          <w:tcPr>
            <w:tcW w:w="846" w:type="dxa"/>
            <w:vAlign w:val="center"/>
          </w:tcPr>
          <w:p w:rsidR="00164E46" w:rsidRDefault="006F774E">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1</w:t>
            </w:r>
          </w:p>
        </w:tc>
        <w:tc>
          <w:tcPr>
            <w:tcW w:w="1417" w:type="dxa"/>
            <w:vAlign w:val="center"/>
          </w:tcPr>
          <w:p w:rsidR="00164E46" w:rsidRDefault="006F774E">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托管账户</w:t>
            </w:r>
          </w:p>
        </w:tc>
        <w:tc>
          <w:tcPr>
            <w:tcW w:w="2668" w:type="dxa"/>
            <w:vAlign w:val="center"/>
          </w:tcPr>
          <w:p w:rsidR="00164E46" w:rsidRDefault="006F774E">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0120050000000929</w:t>
            </w:r>
          </w:p>
        </w:tc>
        <w:tc>
          <w:tcPr>
            <w:tcW w:w="1983" w:type="dxa"/>
            <w:vAlign w:val="center"/>
          </w:tcPr>
          <w:p w:rsidR="00164E46" w:rsidRDefault="006F774E">
            <w:pPr>
              <w:spacing w:beforeLines="20" w:before="48" w:afterLines="20" w:after="48"/>
              <w:jc w:val="center"/>
              <w:textAlignment w:val="center"/>
              <w:rPr>
                <w:rFonts w:ascii="方正仿宋_GBK" w:eastAsia="方正仿宋_GBK" w:hAnsi="Calibri"/>
                <w:sz w:val="24"/>
                <w:szCs w:val="24"/>
                <w:shd w:val="clear" w:color="auto" w:fill="FFFFFF"/>
              </w:rPr>
            </w:pPr>
            <w:proofErr w:type="gramStart"/>
            <w:r>
              <w:rPr>
                <w:rFonts w:ascii="方正仿宋_GBK" w:eastAsia="方正仿宋_GBK" w:hAnsi="方正仿宋_GBK" w:cs="方正仿宋_GBK"/>
                <w:sz w:val="24"/>
              </w:rPr>
              <w:t>南银理财鑫逸稳</w:t>
            </w:r>
            <w:proofErr w:type="gramEnd"/>
            <w:r>
              <w:rPr>
                <w:rFonts w:ascii="方正仿宋_GBK" w:eastAsia="方正仿宋_GBK" w:hAnsi="方正仿宋_GBK" w:cs="方正仿宋_GBK"/>
                <w:sz w:val="24"/>
              </w:rPr>
              <w:t>一年80期</w:t>
            </w:r>
          </w:p>
        </w:tc>
        <w:tc>
          <w:tcPr>
            <w:tcW w:w="1988" w:type="dxa"/>
            <w:vAlign w:val="center"/>
          </w:tcPr>
          <w:p w:rsidR="00164E46" w:rsidRDefault="006F774E">
            <w:pPr>
              <w:spacing w:beforeLines="20" w:before="48" w:afterLines="20" w:after="48"/>
              <w:jc w:val="center"/>
              <w:textAlignment w:val="center"/>
              <w:rPr>
                <w:rFonts w:ascii="方正仿宋_GBK" w:eastAsia="方正仿宋_GBK" w:hAnsi="Calibri"/>
                <w:sz w:val="24"/>
                <w:szCs w:val="24"/>
                <w:shd w:val="clear" w:color="auto" w:fill="FFFFFF"/>
              </w:rPr>
            </w:pPr>
            <w:r>
              <w:rPr>
                <w:rFonts w:ascii="方正仿宋_GBK" w:eastAsia="方正仿宋_GBK" w:hAnsi="方正仿宋_GBK" w:cs="方正仿宋_GBK"/>
                <w:sz w:val="24"/>
              </w:rPr>
              <w:t>南京银行</w:t>
            </w:r>
          </w:p>
        </w:tc>
      </w:tr>
    </w:tbl>
    <w:p w:rsidR="00B31DA4" w:rsidRDefault="00B31DA4" w:rsidP="0068509B">
      <w:pPr>
        <w:spacing w:afterLines="0" w:after="0" w:line="360" w:lineRule="auto"/>
        <w:rPr>
          <w:rFonts w:ascii="方正仿宋_GBK" w:eastAsia="方正仿宋_GBK"/>
          <w:sz w:val="24"/>
          <w:szCs w:val="24"/>
        </w:rPr>
      </w:pPr>
    </w:p>
    <w:p w:rsidR="00675A8D" w:rsidRDefault="00675A8D" w:rsidP="00675A8D">
      <w:pPr>
        <w:spacing w:before="240" w:after="72" w:line="360" w:lineRule="auto"/>
        <w:jc w:val="center"/>
        <w:rPr>
          <w:rFonts w:ascii="方正仿宋_GBK" w:eastAsia="方正仿宋_GBK"/>
          <w:b/>
          <w:sz w:val="24"/>
          <w:szCs w:val="24"/>
        </w:rPr>
      </w:pPr>
    </w:p>
    <w:p w:rsidR="00B31DA4" w:rsidRDefault="007816A9" w:rsidP="00675A8D">
      <w:pPr>
        <w:spacing w:before="240" w:after="72" w:line="360" w:lineRule="auto"/>
        <w:jc w:val="center"/>
        <w:rPr>
          <w:rFonts w:ascii="方正仿宋_GBK" w:eastAsia="方正仿宋_GBK"/>
          <w:b/>
          <w:sz w:val="24"/>
          <w:szCs w:val="24"/>
        </w:rPr>
      </w:pPr>
      <w:r>
        <w:rPr>
          <w:rFonts w:ascii="方正仿宋_GBK" w:eastAsia="方正仿宋_GBK" w:hint="eastAsia"/>
          <w:b/>
          <w:sz w:val="24"/>
          <w:szCs w:val="24"/>
        </w:rPr>
        <w:t>§6 关联交易情况</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报告期内，产品投资于关联</w:t>
      </w:r>
      <w:proofErr w:type="gramStart"/>
      <w:r>
        <w:rPr>
          <w:rFonts w:ascii="方正仿宋_GBK" w:eastAsia="方正仿宋_GBK" w:hAnsiTheme="minorHAnsi" w:cstheme="minorBidi" w:hint="eastAsia"/>
          <w:sz w:val="24"/>
          <w:szCs w:val="24"/>
        </w:rPr>
        <w:t>方发行</w:t>
      </w:r>
      <w:proofErr w:type="gramEnd"/>
      <w:r>
        <w:rPr>
          <w:rFonts w:ascii="方正仿宋_GBK" w:eastAsia="方正仿宋_GBK" w:hAnsiTheme="minorHAnsi" w:cstheme="minorBidi" w:hint="eastAsia"/>
          <w:sz w:val="24"/>
          <w:szCs w:val="24"/>
        </w:rPr>
        <w:t>的证券、关联方作为融资人的非标准化债权类资产业务交易金额0.00元。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产品投资于关联方承销的证券交易金额69,000,000.00元。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产品与关联方作为交易对手开展的投融资业务交易金额0.00元。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产品投资关联方作为管理人的资产管理产品交易金额0.00元。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产品应支付关联方托管费45,119.35元，应支付关联方代销费</w:t>
      </w:r>
      <w:r w:rsidR="00735F94">
        <w:rPr>
          <w:rFonts w:ascii="方正仿宋_GBK" w:eastAsia="方正仿宋_GBK" w:hAnsiTheme="minorHAnsi" w:cstheme="minorBidi" w:hint="eastAsia"/>
          <w:sz w:val="24"/>
          <w:szCs w:val="24"/>
        </w:rPr>
        <w:t>172,475.50</w:t>
      </w:r>
      <w:r>
        <w:rPr>
          <w:rFonts w:ascii="方正仿宋_GBK" w:eastAsia="方正仿宋_GBK" w:hAnsiTheme="minorHAnsi" w:cstheme="minorBidi" w:hint="eastAsia"/>
          <w:sz w:val="24"/>
          <w:szCs w:val="24"/>
        </w:rPr>
        <w:t>元。</w:t>
      </w:r>
    </w:p>
    <w:p w:rsidR="004601C9"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产品发生其他关联交易金额0.00元。</w:t>
      </w:r>
    </w:p>
    <w:p w:rsidR="00B31DA4" w:rsidRDefault="004601C9" w:rsidP="00675A8D">
      <w:pPr>
        <w:spacing w:before="240" w:after="72" w:line="360" w:lineRule="auto"/>
        <w:ind w:firstLineChars="200" w:firstLine="480"/>
        <w:rPr>
          <w:rFonts w:ascii="方正仿宋_GBK" w:eastAsia="方正仿宋_GBK" w:hAnsiTheme="minorHAnsi" w:cstheme="minorBidi"/>
          <w:sz w:val="24"/>
          <w:szCs w:val="24"/>
        </w:rPr>
      </w:pPr>
      <w:r>
        <w:rPr>
          <w:rFonts w:ascii="方正仿宋_GBK" w:eastAsia="方正仿宋_GBK" w:hAnsiTheme="minorHAnsi" w:cstheme="minorBidi" w:hint="eastAsia"/>
          <w:sz w:val="24"/>
          <w:szCs w:val="24"/>
        </w:rPr>
        <w:t>报告期内，产品未发生重大关联交易。</w:t>
      </w: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rPr>
          <w:rFonts w:ascii="方正仿宋_GBK" w:eastAsia="方正仿宋_GBK" w:hAnsi="宋体" w:cs="宋体"/>
          <w:kern w:val="0"/>
          <w:sz w:val="24"/>
          <w:szCs w:val="24"/>
        </w:rPr>
      </w:pPr>
    </w:p>
    <w:p w:rsidR="00B31DA4" w:rsidRDefault="00B31DA4" w:rsidP="00675A8D">
      <w:pPr>
        <w:spacing w:before="240" w:after="72" w:line="360" w:lineRule="auto"/>
        <w:jc w:val="right"/>
        <w:rPr>
          <w:rFonts w:ascii="方正仿宋_GBK" w:eastAsia="方正仿宋_GBK"/>
          <w:b/>
          <w:sz w:val="24"/>
          <w:szCs w:val="24"/>
        </w:rPr>
      </w:pPr>
    </w:p>
    <w:p w:rsidR="00B31DA4" w:rsidRDefault="007816A9" w:rsidP="00675A8D">
      <w:pPr>
        <w:spacing w:before="240" w:after="72" w:line="360" w:lineRule="auto"/>
        <w:jc w:val="right"/>
        <w:rPr>
          <w:rFonts w:ascii="方正仿宋_GBK" w:eastAsia="方正仿宋_GBK" w:hAnsi="Calibri"/>
          <w:b/>
          <w:sz w:val="24"/>
          <w:szCs w:val="24"/>
        </w:rPr>
      </w:pPr>
      <w:proofErr w:type="gramStart"/>
      <w:r>
        <w:rPr>
          <w:rFonts w:ascii="方正仿宋_GBK" w:eastAsia="方正仿宋_GBK" w:hAnsi="Calibri" w:hint="eastAsia"/>
          <w:b/>
          <w:sz w:val="24"/>
          <w:szCs w:val="24"/>
        </w:rPr>
        <w:t>南银理财</w:t>
      </w:r>
      <w:proofErr w:type="gramEnd"/>
      <w:r>
        <w:rPr>
          <w:rFonts w:ascii="方正仿宋_GBK" w:eastAsia="方正仿宋_GBK" w:hAnsi="Calibri" w:hint="eastAsia"/>
          <w:b/>
          <w:sz w:val="24"/>
          <w:szCs w:val="24"/>
        </w:rPr>
        <w:t>有限责任公司</w:t>
      </w:r>
    </w:p>
    <w:p w:rsidR="00B31DA4" w:rsidRDefault="007816A9" w:rsidP="00675A8D">
      <w:pPr>
        <w:spacing w:before="240" w:after="72" w:line="360" w:lineRule="auto"/>
        <w:jc w:val="right"/>
        <w:rPr>
          <w:rFonts w:ascii="方正仿宋_GBK" w:eastAsia="方正仿宋_GBK"/>
          <w:b/>
          <w:sz w:val="24"/>
          <w:szCs w:val="24"/>
        </w:rPr>
      </w:pPr>
      <w:r>
        <w:rPr>
          <w:rFonts w:ascii="方正仿宋_GBK" w:eastAsia="方正仿宋_GBK" w:hint="eastAsia"/>
          <w:b/>
          <w:sz w:val="24"/>
          <w:szCs w:val="24"/>
        </w:rPr>
        <w:t>2022年12月31日</w:t>
      </w:r>
    </w:p>
    <w:p w:rsidR="00B31DA4" w:rsidRDefault="00B31DA4" w:rsidP="00675A8D">
      <w:pPr>
        <w:spacing w:before="240" w:after="72" w:line="360" w:lineRule="auto"/>
        <w:rPr>
          <w:rFonts w:ascii="方正仿宋_GBK" w:eastAsia="方正仿宋_GBK"/>
          <w:sz w:val="24"/>
          <w:szCs w:val="24"/>
        </w:rPr>
      </w:pPr>
    </w:p>
    <w:p w:rsidR="00B31DA4" w:rsidRDefault="00B31DA4" w:rsidP="00675A8D">
      <w:pPr>
        <w:spacing w:before="240" w:after="72" w:line="360" w:lineRule="auto"/>
        <w:rPr>
          <w:rFonts w:ascii="方正仿宋_GBK" w:eastAsia="方正仿宋_GBK"/>
          <w:sz w:val="24"/>
          <w:szCs w:val="24"/>
        </w:rPr>
      </w:pPr>
    </w:p>
    <w:sectPr w:rsidR="00B31DA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ADC" w:rsidRDefault="00516ADC">
      <w:pPr>
        <w:spacing w:after="72"/>
      </w:pPr>
      <w:r>
        <w:separator/>
      </w:r>
    </w:p>
  </w:endnote>
  <w:endnote w:type="continuationSeparator" w:id="0">
    <w:p w:rsidR="00516ADC" w:rsidRDefault="00516ADC">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altName w:val="Arial Unicode MS"/>
    <w:charset w:val="86"/>
    <w:family w:val="script"/>
    <w:pitch w:val="fixed"/>
    <w:sig w:usb0="00000000" w:usb1="080E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7816A9">
    <w:pPr>
      <w:pStyle w:val="a3"/>
      <w:framePr w:wrap="around" w:vAnchor="text" w:hAnchor="margin" w:xAlign="center" w:y="1"/>
      <w:spacing w:after="72"/>
      <w:rPr>
        <w:rStyle w:val="a6"/>
      </w:rPr>
    </w:pPr>
    <w:r>
      <w:fldChar w:fldCharType="begin"/>
    </w:r>
    <w:r>
      <w:rPr>
        <w:rStyle w:val="a6"/>
      </w:rPr>
      <w:instrText xml:space="preserve">PAGE  </w:instrText>
    </w:r>
    <w:r>
      <w:fldChar w:fldCharType="end"/>
    </w:r>
  </w:p>
  <w:p w:rsidR="00B31DA4" w:rsidRDefault="00B31DA4">
    <w:pPr>
      <w:pStyle w:val="a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ADC" w:rsidRDefault="00516ADC">
      <w:pPr>
        <w:spacing w:after="72"/>
      </w:pPr>
      <w:r>
        <w:separator/>
      </w:r>
    </w:p>
  </w:footnote>
  <w:footnote w:type="continuationSeparator" w:id="0">
    <w:p w:rsidR="00516ADC" w:rsidRDefault="00516ADC">
      <w:pPr>
        <w:spacing w:after="7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DA4" w:rsidRDefault="00B31DA4">
    <w:pPr>
      <w:pStyle w:val="a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64E46"/>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7213E"/>
    <w:rsid w:val="004822D3"/>
    <w:rsid w:val="00486D6C"/>
    <w:rsid w:val="00494CBA"/>
    <w:rsid w:val="004B750B"/>
    <w:rsid w:val="004D15C6"/>
    <w:rsid w:val="004E5012"/>
    <w:rsid w:val="004F595C"/>
    <w:rsid w:val="00503A1E"/>
    <w:rsid w:val="00505062"/>
    <w:rsid w:val="005117FF"/>
    <w:rsid w:val="00516ADC"/>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A7A9E"/>
    <w:rsid w:val="006C7930"/>
    <w:rsid w:val="006D1D83"/>
    <w:rsid w:val="006E3DA2"/>
    <w:rsid w:val="006F774E"/>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5AF451-E35C-4A6F-B59F-1457E5E6B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Lines="30" w:after="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style>
  <w:style w:type="character" w:customStyle="1" w:styleId="Char">
    <w:name w:val="页脚 Char"/>
    <w:link w:val="a3"/>
    <w:uiPriority w:val="99"/>
    <w:qFormat/>
    <w:locked/>
    <w:rPr>
      <w:rFonts w:ascii="Times New Roman" w:hAnsi="Times New Roman" w:cs="Times New Roman"/>
      <w:sz w:val="18"/>
      <w:szCs w:val="18"/>
    </w:rPr>
  </w:style>
  <w:style w:type="character" w:customStyle="1" w:styleId="Char1">
    <w:name w:val="页脚 Char1"/>
    <w:basedOn w:val="a0"/>
    <w:uiPriority w:val="99"/>
    <w:semiHidden/>
    <w:qFormat/>
    <w:rPr>
      <w:rFonts w:ascii="Times New Roman" w:eastAsia="宋体" w:hAnsi="Times New Roman" w:cs="Times New Roman"/>
      <w:sz w:val="18"/>
      <w:szCs w:val="18"/>
    </w:rPr>
  </w:style>
  <w:style w:type="paragraph" w:customStyle="1" w:styleId="biaogeleft">
    <w:name w:val="biaoge_left"/>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pPr>
      <w:jc w:val="both"/>
    </w:pPr>
    <w:rPr>
      <w:rFonts w:ascii="Times New Roman" w:eastAsia="宋体" w:hAnsi="Times New Roman" w:cs="Times New Roman"/>
      <w:kern w:val="2"/>
      <w:sz w:val="21"/>
      <w:szCs w:val="21"/>
    </w:rPr>
  </w:style>
  <w:style w:type="paragraph" w:customStyle="1" w:styleId="biaogeright">
    <w:name w:val="biaoge_right"/>
    <w:basedOn w:val="a"/>
    <w:qFormat/>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385</Words>
  <Characters>2200</Characters>
  <Application>Microsoft Office Word</Application>
  <DocSecurity>0</DocSecurity>
  <Lines>18</Lines>
  <Paragraphs>5</Paragraphs>
  <ScaleCrop>false</ScaleCrop>
  <Company>cc</Company>
  <LinksUpToDate>false</LinksUpToDate>
  <CharactersWithSpaces>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体验用户54</cp:lastModifiedBy>
  <cp:revision>114</cp:revision>
  <dcterms:created xsi:type="dcterms:W3CDTF">2022-08-03T07:42:00Z</dcterms:created>
  <dcterms:modified xsi:type="dcterms:W3CDTF">2023-01-13T10:47:00Z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