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Default="007816A9" w:rsidP="00675A8D">
      <w:pPr>
        <w:snapToGrid w:val="0"/>
        <w:spacing w:before="240" w:after="72" w:line="360" w:lineRule="auto"/>
        <w:jc w:val="center"/>
        <w:rPr>
          <w:rFonts w:ascii="方正黑体_GBK" w:eastAsia="方正黑体_GBK"/>
          <w:sz w:val="36"/>
          <w:szCs w:val="36"/>
        </w:rPr>
      </w:pPr>
      <w:proofErr w:type="gramStart"/>
      <w:r>
        <w:rPr>
          <w:rFonts w:ascii="方正黑体_GBK" w:eastAsia="方正黑体_GBK" w:hint="eastAsia"/>
          <w:sz w:val="36"/>
          <w:szCs w:val="36"/>
        </w:rPr>
        <w:t>南银理财</w:t>
      </w:r>
      <w:proofErr w:type="gramEnd"/>
      <w:r>
        <w:rPr>
          <w:rFonts w:ascii="方正黑体_GBK" w:eastAsia="方正黑体_GBK" w:hint="eastAsia"/>
          <w:sz w:val="36"/>
          <w:szCs w:val="36"/>
        </w:rPr>
        <w:t>珠联璧合</w:t>
      </w:r>
      <w:proofErr w:type="gramStart"/>
      <w:r>
        <w:rPr>
          <w:rFonts w:ascii="方正黑体_GBK" w:eastAsia="方正黑体_GBK" w:hint="eastAsia"/>
          <w:sz w:val="36"/>
          <w:szCs w:val="36"/>
        </w:rPr>
        <w:t>鑫逸稳</w:t>
      </w:r>
      <w:proofErr w:type="gramEnd"/>
      <w:r>
        <w:rPr>
          <w:rFonts w:ascii="方正黑体_GBK" w:eastAsia="方正黑体_GBK" w:hint="eastAsia"/>
          <w:sz w:val="36"/>
          <w:szCs w:val="36"/>
        </w:rPr>
        <w:t>两年6期封闭式公募人民币理财产品</w:t>
      </w:r>
    </w:p>
    <w:p w:rsidR="00B31DA4" w:rsidRPr="0068509B" w:rsidRDefault="007816A9" w:rsidP="00675A8D">
      <w:pPr>
        <w:snapToGrid w:val="0"/>
        <w:spacing w:before="240" w:after="72" w:line="360" w:lineRule="auto"/>
        <w:jc w:val="center"/>
        <w:rPr>
          <w:rFonts w:ascii="方正黑体_GBK" w:eastAsia="方正黑体_GBK"/>
          <w:sz w:val="36"/>
          <w:szCs w:val="36"/>
        </w:rPr>
      </w:pPr>
      <w:r w:rsidRPr="0068509B">
        <w:rPr>
          <w:rFonts w:ascii="方正黑体_GBK" w:eastAsia="方正黑体_GBK" w:hint="eastAsia"/>
          <w:sz w:val="36"/>
          <w:szCs w:val="36"/>
        </w:rPr>
        <w:t>2022年第4季度报告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Default="007816A9" w:rsidP="00675A8D">
      <w:pPr>
        <w:snapToGrid w:val="0"/>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产品管理人:</w:t>
      </w:r>
      <w:proofErr w:type="gramStart"/>
      <w:r>
        <w:rPr>
          <w:rFonts w:ascii="方正仿宋_GBK" w:eastAsia="方正仿宋_GBK" w:hint="eastAsia"/>
          <w:b/>
          <w:sz w:val="24"/>
          <w:szCs w:val="24"/>
        </w:rPr>
        <w:t>南银理财</w:t>
      </w:r>
      <w:proofErr w:type="gramEnd"/>
      <w:r>
        <w:rPr>
          <w:rFonts w:ascii="方正仿宋_GBK" w:eastAsia="方正仿宋_GBK" w:hint="eastAsia"/>
          <w:b/>
          <w:sz w:val="24"/>
          <w:szCs w:val="24"/>
        </w:rPr>
        <w:t>有限责任公司</w:t>
      </w:r>
    </w:p>
    <w:p w:rsidR="00B31DA4" w:rsidRDefault="007816A9" w:rsidP="00675A8D">
      <w:pPr>
        <w:snapToGrid w:val="0"/>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B31DA4" w:rsidRPr="00676EE8"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rPr>
        <w:lastRenderedPageBreak/>
        <w:t xml:space="preserve">§1 </w:t>
      </w:r>
      <w:r>
        <w:rPr>
          <w:rFonts w:ascii="方正仿宋_GBK" w:eastAsia="方正仿宋_GBK" w:hAnsi="Calibri" w:hint="eastAsia"/>
          <w:b/>
          <w:sz w:val="24"/>
          <w:szCs w:val="24"/>
        </w:rPr>
        <w:t>产品概况</w:t>
      </w:r>
    </w:p>
    <w:tbl>
      <w:tblPr>
        <w:tblpPr w:leftFromText="180" w:rightFromText="180" w:vertAnchor="text" w:tblpXSpec="center" w:tblpY="1"/>
        <w:tblOverlap w:val="never"/>
        <w:tblW w:w="8897"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2719"/>
        <w:gridCol w:w="6178"/>
      </w:tblGrid>
      <w:tr w:rsidR="00B31DA4" w:rsidTr="008F3334">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产品全称</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proofErr w:type="gramStart"/>
            <w:r>
              <w:rPr>
                <w:rFonts w:ascii="方正仿宋_GBK" w:eastAsia="方正仿宋_GBK" w:hAnsi="仿宋_GB2312" w:cs="仿宋_GB2312" w:hint="eastAsia"/>
                <w:sz w:val="24"/>
                <w:szCs w:val="24"/>
              </w:rPr>
              <w:t>南银理财</w:t>
            </w:r>
            <w:proofErr w:type="gramEnd"/>
            <w:r>
              <w:rPr>
                <w:rFonts w:ascii="方正仿宋_GBK" w:eastAsia="方正仿宋_GBK" w:hAnsi="仿宋_GB2312" w:cs="仿宋_GB2312" w:hint="eastAsia"/>
                <w:sz w:val="24"/>
                <w:szCs w:val="24"/>
              </w:rPr>
              <w:t>珠联璧合</w:t>
            </w:r>
            <w:proofErr w:type="gramStart"/>
            <w:r>
              <w:rPr>
                <w:rFonts w:ascii="方正仿宋_GBK" w:eastAsia="方正仿宋_GBK" w:hAnsi="仿宋_GB2312" w:cs="仿宋_GB2312" w:hint="eastAsia"/>
                <w:sz w:val="24"/>
                <w:szCs w:val="24"/>
              </w:rPr>
              <w:t>鑫逸稳</w:t>
            </w:r>
            <w:proofErr w:type="gramEnd"/>
            <w:r>
              <w:rPr>
                <w:rFonts w:ascii="方正仿宋_GBK" w:eastAsia="方正仿宋_GBK" w:hAnsi="仿宋_GB2312" w:cs="仿宋_GB2312" w:hint="eastAsia"/>
                <w:sz w:val="24"/>
                <w:szCs w:val="24"/>
              </w:rPr>
              <w:t>两年6期封闭式公募人民币理财产品</w:t>
            </w:r>
          </w:p>
        </w:tc>
      </w:tr>
      <w:tr w:rsidR="00B31DA4" w:rsidTr="008F3334">
        <w:trPr>
          <w:trHeight w:val="1300"/>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产品登记编码</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Z7003221000168（投资者可依据该编码在中国</w:t>
            </w:r>
            <w:proofErr w:type="gramStart"/>
            <w:r>
              <w:rPr>
                <w:rFonts w:ascii="方正仿宋_GBK" w:eastAsia="方正仿宋_GBK" w:hAnsi="仿宋_GB2312" w:cs="仿宋_GB2312" w:hint="eastAsia"/>
                <w:sz w:val="24"/>
                <w:szCs w:val="24"/>
              </w:rPr>
              <w:t>理财网</w:t>
            </w:r>
            <w:proofErr w:type="gramEnd"/>
            <w:r>
              <w:rPr>
                <w:rFonts w:ascii="方正仿宋_GBK" w:eastAsia="方正仿宋_GBK" w:hAnsi="仿宋_GB2312" w:cs="仿宋_GB2312" w:hint="eastAsia"/>
                <w:sz w:val="24"/>
                <w:szCs w:val="24"/>
              </w:rPr>
              <w:t>www.chinawealth.com.cn查询理财产品相关信息）</w:t>
            </w:r>
          </w:p>
        </w:tc>
      </w:tr>
      <w:tr w:rsidR="00B31DA4" w:rsidTr="008F3334">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产品运作方式</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封闭式净值型</w:t>
            </w:r>
          </w:p>
        </w:tc>
      </w:tr>
      <w:tr w:rsidR="00B31DA4" w:rsidTr="008F3334">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产品成立日</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2021年12月22日</w:t>
            </w:r>
          </w:p>
        </w:tc>
      </w:tr>
      <w:tr w:rsidR="00B31DA4" w:rsidTr="008F3334">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报告期末产品份额总额</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89,384,143.00份</w:t>
            </w:r>
          </w:p>
        </w:tc>
      </w:tr>
      <w:tr w:rsidR="00B31DA4" w:rsidTr="008F3334">
        <w:trPr>
          <w:trHeight w:val="688"/>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合作机构</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proofErr w:type="gramStart"/>
            <w:r>
              <w:rPr>
                <w:rFonts w:ascii="方正仿宋_GBK" w:eastAsia="方正仿宋_GBK" w:hAnsi="仿宋_GB2312" w:cs="仿宋_GB2312" w:hint="eastAsia"/>
                <w:sz w:val="24"/>
                <w:szCs w:val="24"/>
              </w:rPr>
              <w:t>鑫元基金</w:t>
            </w:r>
            <w:proofErr w:type="gramEnd"/>
            <w:r>
              <w:rPr>
                <w:rFonts w:ascii="方正仿宋_GBK" w:eastAsia="方正仿宋_GBK" w:hAnsi="仿宋_GB2312" w:cs="仿宋_GB2312" w:hint="eastAsia"/>
                <w:sz w:val="24"/>
                <w:szCs w:val="24"/>
              </w:rPr>
              <w:t>管理有限公司</w:t>
            </w:r>
          </w:p>
        </w:tc>
      </w:tr>
      <w:tr w:rsidR="00B31DA4" w:rsidTr="008F3334">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产品管理人</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proofErr w:type="gramStart"/>
            <w:r>
              <w:rPr>
                <w:rFonts w:ascii="方正仿宋_GBK" w:eastAsia="方正仿宋_GBK" w:hAnsi="仿宋_GB2312" w:cs="仿宋_GB2312" w:hint="eastAsia"/>
                <w:sz w:val="24"/>
                <w:szCs w:val="24"/>
              </w:rPr>
              <w:t>南银理财</w:t>
            </w:r>
            <w:proofErr w:type="gramEnd"/>
            <w:r>
              <w:rPr>
                <w:rFonts w:ascii="方正仿宋_GBK" w:eastAsia="方正仿宋_GBK" w:hAnsi="仿宋_GB2312" w:cs="仿宋_GB2312" w:hint="eastAsia"/>
                <w:sz w:val="24"/>
                <w:szCs w:val="24"/>
              </w:rPr>
              <w:t>有限责任公司</w:t>
            </w:r>
          </w:p>
        </w:tc>
      </w:tr>
      <w:tr w:rsidR="00B31DA4" w:rsidTr="008F3334">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产品托管人</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sz w:val="24"/>
          <w:szCs w:val="24"/>
        </w:rPr>
        <w:t>§2  主要财务指标</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2.1 主要财务指标</w:t>
      </w:r>
    </w:p>
    <w:p w:rsidR="00B31DA4" w:rsidRDefault="007816A9" w:rsidP="00675A8D">
      <w:pPr>
        <w:spacing w:before="240" w:after="72" w:line="360" w:lineRule="auto"/>
        <w:jc w:val="right"/>
        <w:rPr>
          <w:rFonts w:ascii="方正仿宋_GBK" w:eastAsia="方正仿宋_GBK" w:cs="宋体"/>
          <w:kern w:val="0"/>
          <w:sz w:val="24"/>
          <w:szCs w:val="24"/>
        </w:rPr>
      </w:pPr>
      <w:r>
        <w:rPr>
          <w:rFonts w:ascii="方正仿宋_GBK" w:eastAsia="方正仿宋_GBK" w:cs="宋体" w:hint="eastAsia"/>
          <w:kern w:val="0"/>
          <w:sz w:val="24"/>
          <w:szCs w:val="24"/>
        </w:rPr>
        <w:t>单位：人民币元</w:t>
      </w:r>
    </w:p>
    <w:tbl>
      <w:tblPr>
        <w:tblpPr w:leftFromText="180" w:rightFromText="180" w:vertAnchor="text" w:tblpXSpec="center" w:tblpY="1"/>
        <w:tblOverlap w:val="never"/>
        <w:tblW w:w="9067"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1838"/>
        <w:gridCol w:w="2693"/>
        <w:gridCol w:w="2410"/>
        <w:gridCol w:w="2126"/>
      </w:tblGrid>
      <w:tr w:rsidR="00B31DA4" w:rsidTr="00E2696A">
        <w:trPr>
          <w:trHeight w:val="699"/>
          <w:jc w:val="center"/>
        </w:trPr>
        <w:tc>
          <w:tcPr>
            <w:tcW w:w="1838" w:type="dxa"/>
            <w:vMerge w:val="restart"/>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内部销售代码</w:t>
            </w:r>
          </w:p>
        </w:tc>
        <w:tc>
          <w:tcPr>
            <w:tcW w:w="7229" w:type="dxa"/>
            <w:gridSpan w:val="3"/>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报告期（2022年10月01日 - 2022年12月31日）</w:t>
            </w:r>
          </w:p>
        </w:tc>
      </w:tr>
      <w:tr w:rsidR="00B31DA4" w:rsidTr="00E2696A">
        <w:trPr>
          <w:trHeight w:val="1697"/>
          <w:jc w:val="center"/>
        </w:trPr>
        <w:tc>
          <w:tcPr>
            <w:tcW w:w="1838" w:type="dxa"/>
            <w:vMerge/>
            <w:vAlign w:val="center"/>
          </w:tcPr>
          <w:p w:rsidR="00B31DA4" w:rsidRDefault="00B31DA4" w:rsidP="0031044B">
            <w:pPr>
              <w:spacing w:beforeLines="20" w:before="48" w:afterLines="20" w:after="48"/>
              <w:jc w:val="center"/>
              <w:rPr>
                <w:rFonts w:ascii="方正仿宋_GBK" w:eastAsia="方正仿宋_GBK" w:hAnsi="仿宋_GB2312" w:cs="仿宋_GB2312"/>
                <w:sz w:val="24"/>
                <w:szCs w:val="24"/>
              </w:rPr>
            </w:pPr>
          </w:p>
        </w:tc>
        <w:tc>
          <w:tcPr>
            <w:tcW w:w="2693"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1.期末产品最后一个市场交易</w:t>
            </w:r>
            <w:proofErr w:type="gramStart"/>
            <w:r>
              <w:rPr>
                <w:rFonts w:ascii="方正仿宋_GBK" w:eastAsia="方正仿宋_GBK" w:hAnsi="仿宋_GB2312" w:cs="仿宋_GB2312" w:hint="eastAsia"/>
                <w:sz w:val="24"/>
                <w:szCs w:val="24"/>
              </w:rPr>
              <w:t>日资产</w:t>
            </w:r>
            <w:proofErr w:type="gramEnd"/>
            <w:r>
              <w:rPr>
                <w:rFonts w:ascii="方正仿宋_GBK" w:eastAsia="方正仿宋_GBK" w:hAnsi="仿宋_GB2312" w:cs="仿宋_GB2312" w:hint="eastAsia"/>
                <w:sz w:val="24"/>
                <w:szCs w:val="24"/>
              </w:rPr>
              <w:t>净值</w:t>
            </w:r>
          </w:p>
        </w:tc>
        <w:tc>
          <w:tcPr>
            <w:tcW w:w="2410"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2.期末产品最后一个市场交易日份额净值</w:t>
            </w:r>
          </w:p>
        </w:tc>
        <w:tc>
          <w:tcPr>
            <w:tcW w:w="2126"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3.期末产品最后一个市场交易日份额累计净值</w:t>
            </w:r>
          </w:p>
        </w:tc>
      </w:tr>
      <w:tr w:rsidR="00C04A43">
        <w:trPr>
          <w:trHeight w:val="565"/>
          <w:jc w:val="center"/>
        </w:trPr>
        <w:tc>
          <w:tcPr>
            <w:tcW w:w="1838"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Y60006</w:t>
            </w:r>
          </w:p>
        </w:tc>
        <w:tc>
          <w:tcPr>
            <w:tcW w:w="2693"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93,353,381.17</w:t>
            </w:r>
          </w:p>
        </w:tc>
        <w:tc>
          <w:tcPr>
            <w:tcW w:w="2410"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1.0444</w:t>
            </w:r>
          </w:p>
        </w:tc>
        <w:tc>
          <w:tcPr>
            <w:tcW w:w="2126"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1.0444</w:t>
            </w:r>
          </w:p>
        </w:tc>
      </w:tr>
    </w:tbl>
    <w:p w:rsidR="00B31DA4" w:rsidRDefault="007816A9" w:rsidP="00675A8D">
      <w:pPr>
        <w:pStyle w:val="biaogeleft"/>
        <w:spacing w:before="240" w:after="72" w:line="360" w:lineRule="auto"/>
        <w:ind w:left="0"/>
        <w:rPr>
          <w:rFonts w:ascii="方正仿宋_GBK" w:eastAsia="方正仿宋_GBK"/>
        </w:rPr>
      </w:pPr>
      <w:r>
        <w:rPr>
          <w:rFonts w:ascii="方正仿宋_GBK" w:eastAsia="方正仿宋_GBK" w:hAnsiTheme="minorHAnsi" w:cstheme="minorBidi" w:hint="eastAsia"/>
          <w:kern w:val="2"/>
        </w:rPr>
        <w:lastRenderedPageBreak/>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sz w:val="24"/>
          <w:szCs w:val="24"/>
        </w:rPr>
        <w:t>§3  管理人报告</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3.1 报告期内产品的投资策略和运作分析</w:t>
      </w:r>
    </w:p>
    <w:p w:rsidR="00C20D54" w:rsidRDefault="007816A9" w:rsidP="00C20D54">
      <w:pPr>
        <w:spacing w:before="240" w:after="72" w:line="360" w:lineRule="auto"/>
        <w:ind w:firstLine="41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四季度期间，基本面数据维持弱势，国内疫情防控优化伴随冬季疫情高发期，感染人数明显增长，对经济活动形成明显的压制影响，外围方面出口下行压力明显增强。政策层面则继续发力对</w:t>
      </w:r>
      <w:proofErr w:type="gramStart"/>
      <w:r>
        <w:rPr>
          <w:rFonts w:ascii="方正仿宋_GBK" w:eastAsia="方正仿宋_GBK" w:hAnsiTheme="minorHAnsi" w:cstheme="minorBidi" w:hint="eastAsia"/>
          <w:sz w:val="24"/>
          <w:szCs w:val="24"/>
        </w:rPr>
        <w:t>冲经济</w:t>
      </w:r>
      <w:proofErr w:type="gramEnd"/>
      <w:r>
        <w:rPr>
          <w:rFonts w:ascii="方正仿宋_GBK" w:eastAsia="方正仿宋_GBK" w:hAnsiTheme="minorHAnsi" w:cstheme="minorBidi" w:hint="eastAsia"/>
          <w:sz w:val="24"/>
          <w:szCs w:val="24"/>
        </w:rPr>
        <w:t>下行压力，除了疫情防控动态优化，房地产行业政策频出，“三支箭”显示政策</w:t>
      </w:r>
      <w:proofErr w:type="gramStart"/>
      <w:r>
        <w:rPr>
          <w:rFonts w:ascii="方正仿宋_GBK" w:eastAsia="方正仿宋_GBK" w:hAnsiTheme="minorHAnsi" w:cstheme="minorBidi" w:hint="eastAsia"/>
          <w:sz w:val="24"/>
          <w:szCs w:val="24"/>
        </w:rPr>
        <w:t>端态度</w:t>
      </w:r>
      <w:proofErr w:type="gramEnd"/>
      <w:r>
        <w:rPr>
          <w:rFonts w:ascii="方正仿宋_GBK" w:eastAsia="方正仿宋_GBK" w:hAnsiTheme="minorHAnsi" w:cstheme="minorBidi" w:hint="eastAsia"/>
          <w:sz w:val="24"/>
          <w:szCs w:val="24"/>
        </w:rPr>
        <w:t>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ascii="方正仿宋_GBK" w:eastAsia="方正仿宋_GBK" w:hAnsiTheme="minorHAnsi" w:cstheme="minorBidi" w:hint="eastAsia"/>
          <w:sz w:val="24"/>
          <w:szCs w:val="24"/>
        </w:rPr>
        <w:br w:type="textWrapping" w:clear="all"/>
        <w:t xml:space="preserve">    展望后市，市场多空因素交织，利率预计维持震荡格局。从利多因素分析来看，第一，为了呵护疫情放开感染高峰时期的基本面以及为开年信贷投放</w:t>
      </w:r>
      <w:proofErr w:type="gramStart"/>
      <w:r>
        <w:rPr>
          <w:rFonts w:ascii="方正仿宋_GBK" w:eastAsia="方正仿宋_GBK" w:hAnsiTheme="minorHAnsi" w:cstheme="minorBidi" w:hint="eastAsia"/>
          <w:sz w:val="24"/>
          <w:szCs w:val="24"/>
        </w:rPr>
        <w:t>做保</w:t>
      </w:r>
      <w:proofErr w:type="gramEnd"/>
      <w:r>
        <w:rPr>
          <w:rFonts w:ascii="方正仿宋_GBK" w:eastAsia="方正仿宋_GBK" w:hAnsiTheme="minorHAnsi" w:cstheme="minorBidi" w:hint="eastAsia"/>
          <w:sz w:val="24"/>
          <w:szCs w:val="24"/>
        </w:rPr>
        <w:t>障等目的，预计跨年后资金面有望保持平稳偏松；第二，跨年后机构配置需求的自然回归，将对债券资产表现形成支撑。而利空因素则主要为年初信贷开门红、两会前政策发力增长的定调可能会压制机构做多情绪。综合来看，我们倾向于认为年初债市调整风险可控，利率或高等级次级债、信用债等表现或好于中低等级类信用债，会持续关注</w:t>
      </w:r>
      <w:proofErr w:type="gramStart"/>
      <w:r>
        <w:rPr>
          <w:rFonts w:ascii="方正仿宋_GBK" w:eastAsia="方正仿宋_GBK" w:hAnsiTheme="minorHAnsi" w:cstheme="minorBidi" w:hint="eastAsia"/>
          <w:sz w:val="24"/>
          <w:szCs w:val="24"/>
        </w:rPr>
        <w:t>国内宽</w:t>
      </w:r>
      <w:proofErr w:type="gramEnd"/>
      <w:r>
        <w:rPr>
          <w:rFonts w:ascii="方正仿宋_GBK" w:eastAsia="方正仿宋_GBK" w:hAnsiTheme="minorHAnsi" w:cstheme="minorBidi" w:hint="eastAsia"/>
          <w:sz w:val="24"/>
          <w:szCs w:val="24"/>
        </w:rPr>
        <w:t>信用效果、外部出口压力等数据及两会前后政策层面的变化。</w:t>
      </w:r>
      <w:r>
        <w:rPr>
          <w:rFonts w:ascii="方正仿宋_GBK" w:eastAsia="方正仿宋_GBK" w:hAnsiTheme="minorHAnsi" w:cstheme="minorBidi" w:hint="eastAsia"/>
          <w:sz w:val="24"/>
          <w:szCs w:val="24"/>
        </w:rPr>
        <w:br w:type="textWrapping" w:clear="all"/>
        <w:t xml:space="preserve">    报告期内，本产品以帮客户实现稳定收益为目标，力求产品净值的稳定增长，产品</w:t>
      </w:r>
      <w:r>
        <w:rPr>
          <w:rFonts w:ascii="方正仿宋_GBK" w:eastAsia="方正仿宋_GBK" w:hAnsiTheme="minorHAnsi" w:cstheme="minorBidi" w:hint="eastAsia"/>
          <w:sz w:val="24"/>
          <w:szCs w:val="24"/>
        </w:rPr>
        <w:lastRenderedPageBreak/>
        <w:t>主要投资于定制债券专户及优质非标债权资产，其中专户严把信用风险、注重分散投资、灵活管理久期，非标债权资产严选标的、锁定收益。</w:t>
      </w:r>
    </w:p>
    <w:p w:rsidR="00B31DA4" w:rsidRDefault="007816A9" w:rsidP="00C20D54">
      <w:pPr>
        <w:spacing w:before="240" w:after="72" w:line="360" w:lineRule="auto"/>
        <w:rPr>
          <w:rFonts w:ascii="方正仿宋_GBK" w:eastAsia="方正仿宋_GBK"/>
          <w:b/>
          <w:sz w:val="24"/>
          <w:szCs w:val="24"/>
        </w:rPr>
      </w:pPr>
      <w:bookmarkStart w:id="0" w:name="_GoBack"/>
      <w:bookmarkEnd w:id="0"/>
      <w:r>
        <w:rPr>
          <w:rFonts w:ascii="方正仿宋_GBK" w:eastAsia="方正仿宋_GBK" w:hint="eastAsia"/>
          <w:b/>
          <w:sz w:val="24"/>
          <w:szCs w:val="24"/>
        </w:rPr>
        <w:t>3.2 报告期内产品的流动性风险分析</w:t>
      </w:r>
    </w:p>
    <w:p w:rsidR="00B31DA4" w:rsidRDefault="007816A9" w:rsidP="00675A8D">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w:t>
      </w:r>
      <w:r>
        <w:rPr>
          <w:rFonts w:ascii="方正仿宋_GBK" w:eastAsia="方正仿宋_GBK" w:hAnsiTheme="minorHAnsi" w:cstheme="minorBidi"/>
          <w:sz w:val="24"/>
          <w:szCs w:val="24"/>
        </w:rPr>
        <w:t xml:space="preserve">   本理财产品主要投向具有良好流动性的标准化债券资产和非标债权资产，其中非标债权资产的投资比例不超过说明书约定的比例上限，资产到期日不晚于本理财产品的到期日，流动性风险可控。</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3.3 报告期内产品的业绩表现</w:t>
      </w:r>
    </w:p>
    <w:p w:rsidR="00B31DA4" w:rsidRDefault="007816A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截至报告期末，本产品份额净值为1.0444元。</w:t>
      </w:r>
    </w:p>
    <w:p w:rsidR="00B31DA4" w:rsidRDefault="00B31DA4" w:rsidP="00675A8D">
      <w:pPr>
        <w:spacing w:before="240" w:after="72" w:line="360" w:lineRule="auto"/>
        <w:rPr>
          <w:rFonts w:ascii="方正仿宋_GBK" w:eastAsia="方正仿宋_GBK" w:hAnsi="宋体"/>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sz w:val="24"/>
          <w:szCs w:val="24"/>
        </w:rPr>
        <w:t>§4  投资组合报告</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745"/>
        <w:gridCol w:w="1859"/>
        <w:gridCol w:w="3002"/>
        <w:gridCol w:w="3289"/>
      </w:tblGrid>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proofErr w:type="gramStart"/>
            <w:r>
              <w:rPr>
                <w:rFonts w:ascii="方正仿宋_GBK" w:eastAsia="方正仿宋_GBK" w:hAnsi="仿宋_GB2312" w:cs="仿宋_GB2312" w:hint="eastAsia"/>
                <w:sz w:val="24"/>
                <w:szCs w:val="24"/>
              </w:rPr>
              <w:t>穿透前占总</w:t>
            </w:r>
            <w:proofErr w:type="gramEnd"/>
            <w:r>
              <w:rPr>
                <w:rFonts w:ascii="方正仿宋_GBK" w:eastAsia="方正仿宋_GBK" w:hAnsi="仿宋_GB2312" w:cs="仿宋_GB2312"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穿透后占总资产比例</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lastRenderedPageBreak/>
              <w:t>序号</w:t>
            </w:r>
          </w:p>
        </w:tc>
        <w:tc>
          <w:tcPr>
            <w:tcW w:w="1585"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代码</w:t>
            </w:r>
          </w:p>
        </w:tc>
        <w:tc>
          <w:tcPr>
            <w:tcW w:w="2720"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名称</w:t>
            </w:r>
          </w:p>
        </w:tc>
        <w:tc>
          <w:tcPr>
            <w:tcW w:w="2058"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公允价值（元）</w:t>
            </w:r>
          </w:p>
        </w:tc>
        <w:tc>
          <w:tcPr>
            <w:tcW w:w="1812"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占产品资产净值比例（％）</w:t>
            </w:r>
          </w:p>
        </w:tc>
      </w:tr>
      <w:tr w:rsidR="00C04A43">
        <w:trPr>
          <w:trHeight w:val="583"/>
          <w:jc w:val="center"/>
        </w:trPr>
        <w:tc>
          <w:tcPr>
            <w:tcW w:w="751" w:type="dxa"/>
            <w:shd w:val="clear" w:color="auto" w:fill="auto"/>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w:t>
            </w:r>
          </w:p>
        </w:tc>
        <w:tc>
          <w:tcPr>
            <w:tcW w:w="1585" w:type="dxa"/>
            <w:shd w:val="clear" w:color="auto" w:fill="auto"/>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ZZGJT202005290001</w:t>
            </w:r>
          </w:p>
        </w:tc>
        <w:tc>
          <w:tcPr>
            <w:tcW w:w="2720" w:type="dxa"/>
            <w:shd w:val="clear" w:color="000000" w:fill="FFFFFF"/>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proofErr w:type="gramStart"/>
            <w:r>
              <w:rPr>
                <w:rFonts w:ascii="方正仿宋_GBK" w:eastAsia="方正仿宋_GBK" w:hAnsi="方正仿宋_GBK" w:cs="方正仿宋_GBK"/>
                <w:sz w:val="24"/>
              </w:rPr>
              <w:t>鑫元基金-鑫</w:t>
            </w:r>
            <w:proofErr w:type="gramEnd"/>
            <w:r>
              <w:rPr>
                <w:rFonts w:ascii="方正仿宋_GBK" w:eastAsia="方正仿宋_GBK" w:hAnsi="方正仿宋_GBK" w:cs="方正仿宋_GBK"/>
                <w:sz w:val="24"/>
              </w:rPr>
              <w:t>安利得51号</w:t>
            </w:r>
          </w:p>
        </w:tc>
        <w:tc>
          <w:tcPr>
            <w:tcW w:w="2058" w:type="dxa"/>
            <w:shd w:val="clear" w:color="000000" w:fill="FFFFFF"/>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47,735,611.70</w:t>
            </w:r>
          </w:p>
        </w:tc>
        <w:tc>
          <w:tcPr>
            <w:tcW w:w="1812" w:type="dxa"/>
            <w:shd w:val="clear" w:color="000000" w:fill="FFFFFF"/>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51.13</w:t>
            </w:r>
          </w:p>
        </w:tc>
      </w:tr>
      <w:tr w:rsidR="00C04A43">
        <w:trPr>
          <w:trHeight w:val="583"/>
          <w:jc w:val="center"/>
        </w:trPr>
        <w:tc>
          <w:tcPr>
            <w:tcW w:w="751" w:type="dxa"/>
            <w:shd w:val="clear" w:color="auto" w:fill="auto"/>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w:t>
            </w:r>
          </w:p>
        </w:tc>
        <w:tc>
          <w:tcPr>
            <w:tcW w:w="1585" w:type="dxa"/>
            <w:shd w:val="clear" w:color="auto" w:fill="auto"/>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21088655</w:t>
            </w:r>
          </w:p>
        </w:tc>
        <w:tc>
          <w:tcPr>
            <w:tcW w:w="2720" w:type="dxa"/>
            <w:shd w:val="clear" w:color="000000" w:fill="FFFFFF"/>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21盐城城南04</w:t>
            </w:r>
          </w:p>
        </w:tc>
        <w:tc>
          <w:tcPr>
            <w:tcW w:w="2058" w:type="dxa"/>
            <w:shd w:val="clear" w:color="000000" w:fill="FFFFFF"/>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23,000,000.00</w:t>
            </w:r>
          </w:p>
        </w:tc>
        <w:tc>
          <w:tcPr>
            <w:tcW w:w="1812" w:type="dxa"/>
            <w:shd w:val="clear" w:color="000000" w:fill="FFFFFF"/>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24.64</w:t>
            </w:r>
          </w:p>
        </w:tc>
      </w:tr>
      <w:tr w:rsidR="00C04A43">
        <w:trPr>
          <w:trHeight w:val="583"/>
          <w:jc w:val="center"/>
        </w:trPr>
        <w:tc>
          <w:tcPr>
            <w:tcW w:w="751" w:type="dxa"/>
            <w:shd w:val="clear" w:color="auto" w:fill="auto"/>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3</w:t>
            </w:r>
          </w:p>
        </w:tc>
        <w:tc>
          <w:tcPr>
            <w:tcW w:w="1585" w:type="dxa"/>
            <w:shd w:val="clear" w:color="auto" w:fill="auto"/>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22088093</w:t>
            </w:r>
          </w:p>
        </w:tc>
        <w:tc>
          <w:tcPr>
            <w:tcW w:w="2720" w:type="dxa"/>
            <w:shd w:val="clear" w:color="000000" w:fill="FFFFFF"/>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22徐圩港投02</w:t>
            </w:r>
          </w:p>
        </w:tc>
        <w:tc>
          <w:tcPr>
            <w:tcW w:w="2058" w:type="dxa"/>
            <w:shd w:val="clear" w:color="000000" w:fill="FFFFFF"/>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9,000,000.00</w:t>
            </w:r>
          </w:p>
        </w:tc>
        <w:tc>
          <w:tcPr>
            <w:tcW w:w="1812" w:type="dxa"/>
            <w:shd w:val="clear" w:color="000000" w:fill="FFFFFF"/>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9.64</w:t>
            </w:r>
          </w:p>
        </w:tc>
      </w:tr>
      <w:tr w:rsidR="00C04A43">
        <w:trPr>
          <w:trHeight w:val="583"/>
          <w:jc w:val="center"/>
        </w:trPr>
        <w:tc>
          <w:tcPr>
            <w:tcW w:w="751" w:type="dxa"/>
            <w:shd w:val="clear" w:color="auto" w:fill="auto"/>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w:t>
            </w:r>
          </w:p>
        </w:tc>
        <w:tc>
          <w:tcPr>
            <w:tcW w:w="1585" w:type="dxa"/>
            <w:shd w:val="clear" w:color="auto" w:fill="auto"/>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22088163</w:t>
            </w:r>
          </w:p>
        </w:tc>
        <w:tc>
          <w:tcPr>
            <w:tcW w:w="2720" w:type="dxa"/>
            <w:shd w:val="clear" w:color="000000" w:fill="FFFFFF"/>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22扬中绿洲01</w:t>
            </w:r>
          </w:p>
        </w:tc>
        <w:tc>
          <w:tcPr>
            <w:tcW w:w="2058" w:type="dxa"/>
            <w:shd w:val="clear" w:color="000000" w:fill="FFFFFF"/>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6,000,000.00</w:t>
            </w:r>
          </w:p>
        </w:tc>
        <w:tc>
          <w:tcPr>
            <w:tcW w:w="1812" w:type="dxa"/>
            <w:shd w:val="clear" w:color="000000" w:fill="FFFFFF"/>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6.43</w:t>
            </w:r>
          </w:p>
        </w:tc>
      </w:tr>
      <w:tr w:rsidR="00C04A43">
        <w:trPr>
          <w:trHeight w:val="583"/>
          <w:jc w:val="center"/>
        </w:trPr>
        <w:tc>
          <w:tcPr>
            <w:tcW w:w="751" w:type="dxa"/>
            <w:shd w:val="clear" w:color="auto" w:fill="auto"/>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5</w:t>
            </w:r>
          </w:p>
        </w:tc>
        <w:tc>
          <w:tcPr>
            <w:tcW w:w="1585" w:type="dxa"/>
            <w:shd w:val="clear" w:color="auto" w:fill="auto"/>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22088160</w:t>
            </w:r>
          </w:p>
        </w:tc>
        <w:tc>
          <w:tcPr>
            <w:tcW w:w="2720" w:type="dxa"/>
            <w:shd w:val="clear" w:color="000000" w:fill="FFFFFF"/>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22盐城城南01</w:t>
            </w:r>
          </w:p>
        </w:tc>
        <w:tc>
          <w:tcPr>
            <w:tcW w:w="2058" w:type="dxa"/>
            <w:shd w:val="clear" w:color="000000" w:fill="FFFFFF"/>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5,000,000.00</w:t>
            </w:r>
          </w:p>
        </w:tc>
        <w:tc>
          <w:tcPr>
            <w:tcW w:w="1812" w:type="dxa"/>
            <w:shd w:val="clear" w:color="000000" w:fill="FFFFFF"/>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5.36</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Default="007816A9" w:rsidP="00675A8D">
      <w:pPr>
        <w:spacing w:before="240" w:after="72" w:line="360" w:lineRule="auto"/>
        <w:rPr>
          <w:rFonts w:ascii="方正仿宋_GBK" w:eastAsia="方正仿宋_GBK" w:hAnsi="宋体" w:cs="宋体"/>
          <w:b/>
          <w:sz w:val="24"/>
          <w:szCs w:val="24"/>
          <w:shd w:val="clear" w:color="auto" w:fill="FFFFFF"/>
        </w:rPr>
      </w:pPr>
      <w:r>
        <w:rPr>
          <w:rFonts w:ascii="方正仿宋_GBK" w:eastAsia="方正仿宋_GBK" w:hAnsi="宋体" w:cs="宋体" w:hint="eastAsia"/>
          <w:b/>
          <w:sz w:val="24"/>
          <w:szCs w:val="24"/>
          <w:shd w:val="clear" w:color="auto" w:fill="FFFFFF"/>
        </w:rPr>
        <w:t>4.3报告期末非标准化债权类资产明细</w:t>
      </w:r>
    </w:p>
    <w:tbl>
      <w:tblPr>
        <w:tblpPr w:leftFromText="180" w:rightFromText="180" w:vertAnchor="text" w:tblpXSpec="center" w:tblpY="1"/>
        <w:tblOverlap w:val="never"/>
        <w:tblW w:w="8926"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序号</w:t>
            </w:r>
          </w:p>
        </w:tc>
        <w:tc>
          <w:tcPr>
            <w:tcW w:w="1704"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融资客户</w:t>
            </w:r>
          </w:p>
        </w:tc>
        <w:tc>
          <w:tcPr>
            <w:tcW w:w="1275"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项目名称</w:t>
            </w:r>
          </w:p>
        </w:tc>
        <w:tc>
          <w:tcPr>
            <w:tcW w:w="1540"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剩余融资期限（</w:t>
            </w:r>
            <w:r>
              <w:rPr>
                <w:rFonts w:ascii="方正仿宋_GBK" w:eastAsia="方正仿宋_GBK" w:hAnsi="仿宋_GB2312" w:cs="仿宋_GB2312"/>
                <w:sz w:val="24"/>
                <w:szCs w:val="24"/>
              </w:rPr>
              <w:t>天）</w:t>
            </w:r>
          </w:p>
        </w:tc>
        <w:tc>
          <w:tcPr>
            <w:tcW w:w="1383"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到期收益分配</w:t>
            </w:r>
          </w:p>
        </w:tc>
        <w:tc>
          <w:tcPr>
            <w:tcW w:w="1271"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交易结构</w:t>
            </w:r>
          </w:p>
        </w:tc>
        <w:tc>
          <w:tcPr>
            <w:tcW w:w="876"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风险状况</w:t>
            </w:r>
          </w:p>
        </w:tc>
      </w:tr>
      <w:tr w:rsidR="00C04A43">
        <w:trPr>
          <w:trHeight w:val="571"/>
          <w:jc w:val="center"/>
        </w:trPr>
        <w:tc>
          <w:tcPr>
            <w:tcW w:w="877"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w:t>
            </w:r>
          </w:p>
        </w:tc>
        <w:tc>
          <w:tcPr>
            <w:tcW w:w="1704"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连云港徐圩港口投资集团有限公司</w:t>
            </w:r>
          </w:p>
        </w:tc>
        <w:tc>
          <w:tcPr>
            <w:tcW w:w="1275"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22徐圩港投02</w:t>
            </w:r>
          </w:p>
        </w:tc>
        <w:tc>
          <w:tcPr>
            <w:tcW w:w="1540"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391</w:t>
            </w:r>
          </w:p>
        </w:tc>
        <w:tc>
          <w:tcPr>
            <w:tcW w:w="1383"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按年付息，到期还本</w:t>
            </w:r>
          </w:p>
        </w:tc>
        <w:tc>
          <w:tcPr>
            <w:tcW w:w="1271"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理财直接融资工具</w:t>
            </w:r>
          </w:p>
        </w:tc>
        <w:tc>
          <w:tcPr>
            <w:tcW w:w="876"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r>
      <w:tr w:rsidR="00C04A43">
        <w:trPr>
          <w:trHeight w:val="571"/>
          <w:jc w:val="center"/>
        </w:trPr>
        <w:tc>
          <w:tcPr>
            <w:tcW w:w="877"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w:t>
            </w:r>
          </w:p>
        </w:tc>
        <w:tc>
          <w:tcPr>
            <w:tcW w:w="1704"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盐城市城南新区开发建设投资有限公司</w:t>
            </w:r>
          </w:p>
        </w:tc>
        <w:tc>
          <w:tcPr>
            <w:tcW w:w="1275"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22盐城城南01</w:t>
            </w:r>
          </w:p>
        </w:tc>
        <w:tc>
          <w:tcPr>
            <w:tcW w:w="1540"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410</w:t>
            </w:r>
          </w:p>
        </w:tc>
        <w:tc>
          <w:tcPr>
            <w:tcW w:w="1383"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按年付息，到期还本</w:t>
            </w:r>
          </w:p>
        </w:tc>
        <w:tc>
          <w:tcPr>
            <w:tcW w:w="1271"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理财直接融资工具</w:t>
            </w:r>
          </w:p>
        </w:tc>
        <w:tc>
          <w:tcPr>
            <w:tcW w:w="876"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r>
      <w:tr w:rsidR="00C04A43">
        <w:trPr>
          <w:trHeight w:val="571"/>
          <w:jc w:val="center"/>
        </w:trPr>
        <w:tc>
          <w:tcPr>
            <w:tcW w:w="877"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3</w:t>
            </w:r>
          </w:p>
        </w:tc>
        <w:tc>
          <w:tcPr>
            <w:tcW w:w="1704"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盐城市城南新区开发建设投资有限公司</w:t>
            </w:r>
          </w:p>
        </w:tc>
        <w:tc>
          <w:tcPr>
            <w:tcW w:w="1275"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21盐城城南04</w:t>
            </w:r>
          </w:p>
        </w:tc>
        <w:tc>
          <w:tcPr>
            <w:tcW w:w="1540"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363</w:t>
            </w:r>
          </w:p>
        </w:tc>
        <w:tc>
          <w:tcPr>
            <w:tcW w:w="1383"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按年付息，到期还本</w:t>
            </w:r>
          </w:p>
        </w:tc>
        <w:tc>
          <w:tcPr>
            <w:tcW w:w="1271"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理财直接融资工具</w:t>
            </w:r>
          </w:p>
        </w:tc>
        <w:tc>
          <w:tcPr>
            <w:tcW w:w="876"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r>
      <w:tr w:rsidR="00C04A43">
        <w:trPr>
          <w:trHeight w:val="571"/>
          <w:jc w:val="center"/>
        </w:trPr>
        <w:tc>
          <w:tcPr>
            <w:tcW w:w="877"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w:t>
            </w:r>
          </w:p>
        </w:tc>
        <w:tc>
          <w:tcPr>
            <w:tcW w:w="1704"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扬中绿洲新城实业集团有限公司</w:t>
            </w:r>
          </w:p>
        </w:tc>
        <w:tc>
          <w:tcPr>
            <w:tcW w:w="1275"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22扬中绿洲01</w:t>
            </w:r>
          </w:p>
        </w:tc>
        <w:tc>
          <w:tcPr>
            <w:tcW w:w="1540"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411</w:t>
            </w:r>
          </w:p>
        </w:tc>
        <w:tc>
          <w:tcPr>
            <w:tcW w:w="1383"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按年付息，到期还本</w:t>
            </w:r>
          </w:p>
        </w:tc>
        <w:tc>
          <w:tcPr>
            <w:tcW w:w="1271"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理财直接融资工具</w:t>
            </w:r>
          </w:p>
        </w:tc>
        <w:tc>
          <w:tcPr>
            <w:tcW w:w="876" w:type="dxa"/>
            <w:vAlign w:val="center"/>
          </w:tcPr>
          <w:p w:rsidR="00C04A43" w:rsidRDefault="005C0D2C">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int="eastAsia"/>
          <w:b/>
          <w:sz w:val="24"/>
          <w:szCs w:val="24"/>
        </w:rPr>
        <w:lastRenderedPageBreak/>
        <w:t>§5 投资账户信息</w:t>
      </w:r>
    </w:p>
    <w:tbl>
      <w:tblPr>
        <w:tblpPr w:leftFromText="180" w:rightFromText="180" w:vertAnchor="text" w:tblpXSpec="center" w:tblpY="1"/>
        <w:tblOverlap w:val="neve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序号</w:t>
            </w:r>
          </w:p>
        </w:tc>
        <w:tc>
          <w:tcPr>
            <w:tcW w:w="1417"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账户类型</w:t>
            </w:r>
          </w:p>
        </w:tc>
        <w:tc>
          <w:tcPr>
            <w:tcW w:w="2668"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账号</w:t>
            </w:r>
          </w:p>
        </w:tc>
        <w:tc>
          <w:tcPr>
            <w:tcW w:w="1983"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账户名称</w:t>
            </w:r>
          </w:p>
        </w:tc>
        <w:tc>
          <w:tcPr>
            <w:tcW w:w="1988"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开户单位</w:t>
            </w:r>
          </w:p>
        </w:tc>
      </w:tr>
      <w:tr w:rsidR="00C04A43">
        <w:trPr>
          <w:trHeight w:val="584"/>
          <w:jc w:val="center"/>
        </w:trPr>
        <w:tc>
          <w:tcPr>
            <w:tcW w:w="846" w:type="dxa"/>
            <w:vAlign w:val="center"/>
          </w:tcPr>
          <w:p w:rsidR="00C04A43" w:rsidRDefault="005C0D2C">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1</w:t>
            </w:r>
          </w:p>
        </w:tc>
        <w:tc>
          <w:tcPr>
            <w:tcW w:w="1417" w:type="dxa"/>
            <w:vAlign w:val="center"/>
          </w:tcPr>
          <w:p w:rsidR="00C04A43" w:rsidRDefault="005C0D2C">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托管账户</w:t>
            </w:r>
          </w:p>
        </w:tc>
        <w:tc>
          <w:tcPr>
            <w:tcW w:w="2668" w:type="dxa"/>
            <w:vAlign w:val="center"/>
          </w:tcPr>
          <w:p w:rsidR="00C04A43" w:rsidRDefault="005C0D2C">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0120000000000719</w:t>
            </w:r>
          </w:p>
        </w:tc>
        <w:tc>
          <w:tcPr>
            <w:tcW w:w="1983" w:type="dxa"/>
            <w:vAlign w:val="center"/>
          </w:tcPr>
          <w:p w:rsidR="00C04A43" w:rsidRDefault="005C0D2C">
            <w:pPr>
              <w:spacing w:beforeLines="20" w:before="48" w:afterLines="20" w:after="48"/>
              <w:jc w:val="center"/>
              <w:textAlignment w:val="center"/>
              <w:rPr>
                <w:rFonts w:ascii="方正仿宋_GBK" w:eastAsia="方正仿宋_GBK" w:hAnsi="Calibri"/>
                <w:sz w:val="24"/>
                <w:szCs w:val="24"/>
                <w:shd w:val="clear" w:color="auto" w:fill="FFFFFF"/>
              </w:rPr>
            </w:pPr>
            <w:proofErr w:type="gramStart"/>
            <w:r>
              <w:rPr>
                <w:rFonts w:ascii="方正仿宋_GBK" w:eastAsia="方正仿宋_GBK" w:hAnsi="方正仿宋_GBK" w:cs="方正仿宋_GBK"/>
                <w:sz w:val="24"/>
              </w:rPr>
              <w:t>南银理财鑫逸稳</w:t>
            </w:r>
            <w:proofErr w:type="gramEnd"/>
            <w:r>
              <w:rPr>
                <w:rFonts w:ascii="方正仿宋_GBK" w:eastAsia="方正仿宋_GBK" w:hAnsi="方正仿宋_GBK" w:cs="方正仿宋_GBK"/>
                <w:sz w:val="24"/>
              </w:rPr>
              <w:t>两年6期</w:t>
            </w:r>
          </w:p>
        </w:tc>
        <w:tc>
          <w:tcPr>
            <w:tcW w:w="1988" w:type="dxa"/>
            <w:vAlign w:val="center"/>
          </w:tcPr>
          <w:p w:rsidR="00C04A43" w:rsidRDefault="005C0D2C">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南京银行</w:t>
            </w:r>
          </w:p>
        </w:tc>
      </w:tr>
    </w:tbl>
    <w:p w:rsidR="00B31DA4" w:rsidRDefault="00B31DA4" w:rsidP="0068509B">
      <w:pPr>
        <w:spacing w:afterLines="0" w:after="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§6 关联交易情况</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报告期内，产品投资于关联</w:t>
      </w:r>
      <w:proofErr w:type="gramStart"/>
      <w:r>
        <w:rPr>
          <w:rFonts w:ascii="方正仿宋_GBK" w:eastAsia="方正仿宋_GBK" w:hAnsiTheme="minorHAnsi" w:cstheme="minorBidi" w:hint="eastAsia"/>
          <w:sz w:val="24"/>
          <w:szCs w:val="24"/>
        </w:rPr>
        <w:t>方发行</w:t>
      </w:r>
      <w:proofErr w:type="gramEnd"/>
      <w:r>
        <w:rPr>
          <w:rFonts w:ascii="方正仿宋_GBK" w:eastAsia="方正仿宋_GBK" w:hAnsiTheme="minorHAnsi" w:cstheme="minorBidi" w:hint="eastAsia"/>
          <w:sz w:val="24"/>
          <w:szCs w:val="24"/>
        </w:rPr>
        <w:t>的证券、关联方作为融资人的非标准化债权类资产业务交易金额0.00元。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产品投资于关联方承销的证券交易金额0.00元。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产品与关联方作为交易对手开展的投融资业务交易金额0.00元。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产品投资关联方作为管理人的资产管理产品交易金额0.00元。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产品应支付关联方托管费4,712.01元，应支付关联方代销费</w:t>
      </w:r>
      <w:r w:rsidR="00735F94">
        <w:rPr>
          <w:rFonts w:ascii="方正仿宋_GBK" w:eastAsia="方正仿宋_GBK" w:hAnsiTheme="minorHAnsi" w:cstheme="minorBidi" w:hint="eastAsia"/>
          <w:sz w:val="24"/>
          <w:szCs w:val="24"/>
        </w:rPr>
        <w:t>29,480.09</w:t>
      </w:r>
      <w:r>
        <w:rPr>
          <w:rFonts w:ascii="方正仿宋_GBK" w:eastAsia="方正仿宋_GBK" w:hAnsiTheme="minorHAnsi" w:cstheme="minorBidi" w:hint="eastAsia"/>
          <w:sz w:val="24"/>
          <w:szCs w:val="24"/>
        </w:rPr>
        <w:t>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产品发生其他关联交易金额0.00元。</w:t>
      </w:r>
    </w:p>
    <w:p w:rsidR="00B31DA4"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Default="007816A9" w:rsidP="00675A8D">
      <w:pPr>
        <w:spacing w:before="240" w:after="72" w:line="360" w:lineRule="auto"/>
        <w:jc w:val="right"/>
        <w:rPr>
          <w:rFonts w:ascii="方正仿宋_GBK" w:eastAsia="方正仿宋_GBK" w:hAnsi="Calibri"/>
          <w:b/>
          <w:sz w:val="24"/>
          <w:szCs w:val="24"/>
        </w:rPr>
      </w:pPr>
      <w:proofErr w:type="gramStart"/>
      <w:r>
        <w:rPr>
          <w:rFonts w:ascii="方正仿宋_GBK" w:eastAsia="方正仿宋_GBK" w:hAnsi="Calibri" w:hint="eastAsia"/>
          <w:b/>
          <w:sz w:val="24"/>
          <w:szCs w:val="24"/>
        </w:rPr>
        <w:lastRenderedPageBreak/>
        <w:t>南银理财</w:t>
      </w:r>
      <w:proofErr w:type="gramEnd"/>
      <w:r>
        <w:rPr>
          <w:rFonts w:ascii="方正仿宋_GBK" w:eastAsia="方正仿宋_GBK" w:hAnsi="Calibri" w:hint="eastAsia"/>
          <w:b/>
          <w:sz w:val="24"/>
          <w:szCs w:val="24"/>
        </w:rPr>
        <w:t>有限责任公司</w:t>
      </w:r>
    </w:p>
    <w:p w:rsidR="00B31DA4" w:rsidRDefault="007816A9" w:rsidP="00675A8D">
      <w:pPr>
        <w:spacing w:before="240" w:after="72" w:line="360" w:lineRule="auto"/>
        <w:jc w:val="right"/>
        <w:rPr>
          <w:rFonts w:ascii="方正仿宋_GBK" w:eastAsia="方正仿宋_GBK"/>
          <w:b/>
          <w:sz w:val="24"/>
          <w:szCs w:val="24"/>
        </w:rPr>
      </w:pPr>
      <w:r>
        <w:rPr>
          <w:rFonts w:ascii="方正仿宋_GBK" w:eastAsia="方正仿宋_GBK" w:hint="eastAsia"/>
          <w:b/>
          <w:sz w:val="24"/>
          <w:szCs w:val="24"/>
        </w:rPr>
        <w:t>2022年12月31日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ED5" w:rsidRDefault="00286ED5">
      <w:pPr>
        <w:spacing w:after="72"/>
      </w:pPr>
      <w:r>
        <w:separator/>
      </w:r>
    </w:p>
  </w:endnote>
  <w:endnote w:type="continuationSeparator" w:id="0">
    <w:p w:rsidR="00286ED5" w:rsidRDefault="00286ED5">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_GBK">
    <w:altName w:val="Arial Unicode MS"/>
    <w:charset w:val="86"/>
    <w:family w:val="script"/>
    <w:pitch w:val="fixed"/>
    <w:sig w:usb0="00000000" w:usb1="080E0000" w:usb2="00000010" w:usb3="00000000" w:csb0="00040000" w:csb1="00000000"/>
  </w:font>
  <w:font w:name="方正黑体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7816A9">
    <w:pPr>
      <w:pStyle w:val="a3"/>
      <w:framePr w:wrap="around" w:vAnchor="text" w:hAnchor="margin" w:xAlign="center" w:y="1"/>
      <w:spacing w:after="72"/>
      <w:rPr>
        <w:rStyle w:val="a6"/>
      </w:rPr>
    </w:pPr>
    <w:r>
      <w:fldChar w:fldCharType="begin"/>
    </w:r>
    <w:r>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ED5" w:rsidRDefault="00286ED5">
      <w:pPr>
        <w:spacing w:after="72"/>
      </w:pPr>
      <w:r>
        <w:separator/>
      </w:r>
    </w:p>
  </w:footnote>
  <w:footnote w:type="continuationSeparator" w:id="0">
    <w:p w:rsidR="00286ED5" w:rsidRDefault="00286ED5">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86ED5"/>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0D2C"/>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333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04A43"/>
    <w:rsid w:val="00C14418"/>
    <w:rsid w:val="00C20D54"/>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138B4249"/>
    <w:rsid w:val="1F1A3BC0"/>
    <w:rsid w:val="2651710C"/>
    <w:rsid w:val="2C5F4270"/>
    <w:rsid w:val="341F714B"/>
    <w:rsid w:val="57DD4EC8"/>
    <w:rsid w:val="6115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25AF451-E35C-4A6F-B59F-1457E5E6B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Lines="30" w:after="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style>
  <w:style w:type="character" w:customStyle="1" w:styleId="Char">
    <w:name w:val="页脚 Char"/>
    <w:link w:val="a3"/>
    <w:uiPriority w:val="99"/>
    <w:qFormat/>
    <w:locked/>
    <w:rPr>
      <w:rFonts w:ascii="Times New Roman" w:hAnsi="Times New Roman" w:cs="Times New Roman"/>
      <w:sz w:val="18"/>
      <w:szCs w:val="18"/>
    </w:rPr>
  </w:style>
  <w:style w:type="character" w:customStyle="1" w:styleId="Char1">
    <w:name w:val="页脚 Char1"/>
    <w:basedOn w:val="a0"/>
    <w:uiPriority w:val="99"/>
    <w:semiHidden/>
    <w:qFormat/>
    <w:rPr>
      <w:rFonts w:ascii="Times New Roman" w:eastAsia="宋体" w:hAnsi="Times New Roman" w:cs="Times New Roman"/>
      <w:sz w:val="18"/>
      <w:szCs w:val="18"/>
    </w:rPr>
  </w:style>
  <w:style w:type="paragraph" w:customStyle="1" w:styleId="biaogeleft">
    <w:name w:val="biaoge_left"/>
    <w:basedOn w:val="a"/>
    <w:qFormat/>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pPr>
      <w:jc w:val="both"/>
    </w:pPr>
    <w:rPr>
      <w:rFonts w:ascii="Times New Roman" w:eastAsia="宋体" w:hAnsi="Times New Roman" w:cs="Times New Roman"/>
      <w:kern w:val="2"/>
      <w:sz w:val="21"/>
      <w:szCs w:val="21"/>
    </w:rPr>
  </w:style>
  <w:style w:type="paragraph" w:customStyle="1" w:styleId="biaogeright">
    <w:name w:val="biaoge_right"/>
    <w:basedOn w:val="a"/>
    <w:qFormat/>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8</Pages>
  <Words>359</Words>
  <Characters>2051</Characters>
  <Application>Microsoft Office Word</Application>
  <DocSecurity>0</DocSecurity>
  <Lines>17</Lines>
  <Paragraphs>4</Paragraphs>
  <ScaleCrop>false</ScaleCrop>
  <Company>cc</Company>
  <LinksUpToDate>false</LinksUpToDate>
  <CharactersWithSpaces>2406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体验用户54</cp:lastModifiedBy>
  <cp:revision>114</cp:revision>
  <dcterms:created xsi:type="dcterms:W3CDTF">2022-08-03T07:42:00Z</dcterms:created>
  <dcterms:modified xsi:type="dcterms:W3CDTF">2023-01-13T10:36:00Z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