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南银理财珠联璧合鑫逸稳一年55期封闭式公募人民币理财产品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南银理财珠联璧合鑫逸稳一年55期封闭式公募人民币理财产品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Z7003222000023（投资者可依据该编码在中国理财网www.chinawealth.com.cn查询理财产品相关信息）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2022年04月13日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372,748,463.00份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鹏华基金管理有限公司、鑫元基金管理有限公司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Y30055</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380,250,540.03</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1.0201</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1.0201</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报告期内，本产品以帮客户实现稳定收益为目标，力求产品净值的稳定增长，产品主要投资于定制债券专户及优质非标债权资产，其中专户严把信用风险、注重分散投资、灵活管理久期，非标债权资产严选</w:t>
      </w:r>
      <w:bookmarkStart w:id="0" w:name="_GoBack"/>
      <w:bookmarkEnd w:id="0"/>
      <w:r>
        <w:rPr>
          <w:rFonts w:hint="eastAsia" w:ascii="方正仿宋_GBK" w:eastAsia="方正仿宋_GBK" w:hAnsiTheme="minorHAnsi" w:cstheme="minorBidi"/>
          <w:sz w:val="24"/>
          <w:szCs w:val="24"/>
        </w:rPr>
        <w:t>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截至报告期末，本产品份额净值为1.0201元。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2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8"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ZJQTT202202230001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鑫元基金-鑫安利得59号集合资产管理计划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171,216,824.51</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45.03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22088516</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22锦汇集团01</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28.93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22088507</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22盐城城南03</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18.41</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ZJQTT202103180001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鹏华基金南华1号集合资产管理计划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22,046,068.91</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5.80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盐城市城南新区开发建设投资有限公司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22盐城城南03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江苏锦汇集团有限公司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22锦汇集团01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111</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0120030000000794</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南银理财鑫逸稳一年55期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产品应支付关联方托管费19,205.19元，应支付关联方代销费135,049.95元。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651710C"/>
    <w:rsid w:val="2C5F4270"/>
    <w:rsid w:val="341F714B"/>
    <w:rsid w:val="35A26038"/>
    <w:rsid w:val="3D307E93"/>
    <w:rsid w:val="3F1735F3"/>
    <w:rsid w:val="57DD4EC8"/>
    <w:rsid w:val="611546EB"/>
    <w:rsid w:val="65DF6369"/>
    <w:rsid w:val="6E712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6</Pages>
  <Words>1720</Words>
  <Characters>2078</Characters>
  <Lines>14</Lines>
  <Paragraphs>4</Paragraphs>
  <TotalTime>36</TotalTime>
  <ScaleCrop>false</ScaleCrop>
  <LinksUpToDate>false</LinksUpToDate>
  <CharactersWithSpaces>2107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2023-01-13T11:11:05Z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49A45784AA4D4FF39B6D69263046E794</vt:lpwstr>
  </property>
</Properties>
</file>