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南银理财珠联璧合日日聚宝现金管理类公募人民币理财产品</w:t>
      </w:r>
    </w:p>
    <w:p>
      <w:pPr>
        <w:snapToGrid w:val="0"/>
        <w:spacing w:before="240" w:after="72" w:line="360" w:lineRule="auto"/>
        <w:jc w:val="center"/>
        <w:rPr>
          <w:rFonts w:ascii="方正黑体_GBK" w:eastAsia="方正黑体_GBK"/>
          <w:sz w:val="36"/>
          <w:szCs w:val="36"/>
        </w:rPr>
      </w:pPr>
      <w:r>
        <w:rPr>
          <w:rFonts w:hint="eastAsia" w:ascii="方正黑体_GBK" w:eastAsia="方正黑体_GBK"/>
          <w:sz w:val="36"/>
          <w:szCs w:val="36"/>
        </w:rPr>
        <w:t>2022年第4季度报告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产品管理人:南银理财有限责任公司</w:t>
      </w:r>
    </w:p>
    <w:p>
      <w:pPr>
        <w:snapToGrid w:val="0"/>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_GBK" w:eastAsia="方正仿宋_GBK"/>
          <w:b/>
          <w:sz w:val="24"/>
          <w:szCs w:val="24"/>
        </w:rPr>
      </w:pPr>
      <w:r>
        <w:rPr>
          <w:rFonts w:hint="eastAsia" w:ascii="方正仿宋_GBK" w:hAnsi="Calibri" w:eastAsia="方正仿宋_GBK"/>
          <w:b/>
        </w:rPr>
        <w:t xml:space="preserve">§1 </w:t>
      </w:r>
      <w:r>
        <w:rPr>
          <w:rFonts w:hint="eastAsia" w:ascii="方正仿宋_GBK" w:hAnsi="Calibri" w:eastAsia="方正仿宋_GBK"/>
          <w:b/>
          <w:sz w:val="24"/>
          <w:szCs w:val="24"/>
        </w:rPr>
        <w:t>产品概况</w:t>
      </w:r>
    </w:p>
    <w:tbl>
      <w:tblPr>
        <w:tblStyle w:val="7"/>
        <w:tblpPr w:leftFromText="180" w:rightFromText="180" w:vertAnchor="text" w:tblpY="1"/>
        <w:tblOverlap w:val="never"/>
        <w:tblW w:w="8897"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2719"/>
        <w:gridCol w:w="617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产品全称</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南银理财珠联璧合日日聚宝现金管理类公募人民币理财产品</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产品登记编码</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Z7003220000009（投资者可依据该编码在中国理财网www.chinawealth.com.cn查询理财产品相关信息）</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产品运作方式</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开放式净值型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产品成立日</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2019年10月22日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报告期末产品份额总额</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48,286,071,944.04份</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合作机构</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产品管理人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南银理财有限责任公司</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2719"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产品托管人</w:t>
            </w:r>
          </w:p>
        </w:tc>
        <w:tc>
          <w:tcPr>
            <w:tcW w:w="6178" w:type="dxa"/>
            <w:vAlign w:val="center"/>
          </w:tcPr>
          <w:p>
            <w:pPr>
              <w:spacing w:before="48" w:beforeLines="20" w:after="48" w:afterLines="20"/>
              <w:jc w:val="left"/>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§2  主要财务指标</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2.1 主要财务指标</w:t>
      </w:r>
    </w:p>
    <w:p>
      <w:pPr>
        <w:spacing w:before="240" w:after="72" w:line="360" w:lineRule="auto"/>
        <w:jc w:val="right"/>
        <w:rPr>
          <w:rFonts w:ascii="方正仿宋_GBK" w:eastAsia="方正仿宋_GBK" w:cs="宋体"/>
          <w:kern w:val="0"/>
          <w:sz w:val="24"/>
          <w:szCs w:val="24"/>
        </w:rPr>
      </w:pPr>
      <w:r>
        <w:rPr>
          <w:rFonts w:hint="eastAsia" w:ascii="方正仿宋_GBK" w:eastAsia="方正仿宋_GBK" w:cs="宋体"/>
          <w:kern w:val="0"/>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693"/>
        <w:gridCol w:w="2410"/>
        <w:gridCol w:w="212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内部销售代码</w:t>
            </w:r>
          </w:p>
        </w:tc>
        <w:tc>
          <w:tcPr>
            <w:tcW w:w="7229" w:type="dxa"/>
            <w:gridSpan w:val="3"/>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报告期（2022年10月01日 - 2022年12月31日）</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_GBK" w:hAnsi="仿宋_GB2312" w:eastAsia="方正仿宋_GBK" w:cs="仿宋_GB2312"/>
                <w:sz w:val="24"/>
                <w:szCs w:val="24"/>
              </w:rPr>
            </w:pPr>
          </w:p>
        </w:tc>
        <w:tc>
          <w:tcPr>
            <w:tcW w:w="269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1.期末产品最后一个市场交易日资产净值</w:t>
            </w:r>
          </w:p>
        </w:tc>
        <w:tc>
          <w:tcPr>
            <w:tcW w:w="241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2.期末产品最后一个市场交易日份额净值</w:t>
            </w:r>
          </w:p>
        </w:tc>
        <w:tc>
          <w:tcPr>
            <w:tcW w:w="212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3.期末产品最后一个市场交易日份额累计净值</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A20002</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18,513,790,394.64</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A22001</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1,007,159,822.79</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A22002</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18,730,930,863.40</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A22004</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4,744,520,656.42</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A22005</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4,736,683,780.37</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A22006</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128,209,996.09</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A22007</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230,639,827.89</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A22008</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68,524,853.17</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A22009</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75,585,501.04</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1838"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A22010</w:t>
            </w:r>
          </w:p>
        </w:tc>
        <w:tc>
          <w:tcPr>
            <w:tcW w:w="269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50,026,248.23</w:t>
            </w:r>
          </w:p>
        </w:tc>
        <w:tc>
          <w:tcPr>
            <w:tcW w:w="241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c>
          <w:tcPr>
            <w:tcW w:w="212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w:t>
            </w:r>
          </w:p>
        </w:tc>
      </w:tr>
    </w:tbl>
    <w:p>
      <w:pPr>
        <w:pStyle w:val="10"/>
        <w:spacing w:before="240" w:after="72" w:line="360" w:lineRule="auto"/>
        <w:ind w:left="0"/>
        <w:rPr>
          <w:rFonts w:ascii="方正仿宋_GBK" w:eastAsia="方正仿宋_GBK"/>
        </w:rPr>
      </w:pPr>
      <w:r>
        <w:rPr>
          <w:rFonts w:hint="eastAsia" w:ascii="方正仿宋_GBK" w:eastAsia="方正仿宋_GBK" w:hAnsiTheme="minorHAnsi" w:cstheme="minorBidi"/>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§3  管理人报告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3.1 报告期内产品的投资策略和运作分析</w:t>
      </w:r>
    </w:p>
    <w:p>
      <w:pPr>
        <w:spacing w:before="240" w:after="72" w:line="360" w:lineRule="auto"/>
        <w:ind w:firstLine="358"/>
        <w:rPr>
          <w:rFonts w:hint="eastAsia" w:ascii="方正仿宋_GBK" w:eastAsia="方正仿宋_GBK" w:hAnsiTheme="minorHAnsi" w:cstheme="minorBidi"/>
          <w:sz w:val="24"/>
          <w:szCs w:val="24"/>
        </w:rPr>
      </w:pPr>
      <w:r>
        <w:rPr>
          <w:rFonts w:hint="eastAsia" w:ascii="方正仿宋_GBK" w:eastAsia="方正仿宋_GBK" w:hAnsiTheme="minorHAnsi" w:cstheme="minorBidi"/>
          <w:sz w:val="24"/>
          <w:szCs w:val="24"/>
        </w:rPr>
        <w:t>四季度期间，基本面数据维持弱势，国内疫情防控优化伴随冬季疫情高发期，感染人数明显增长，对经济活动形成明显的压制，外围方面出口下行压力明显增强。政策层面则继续发力对冲经济下行压力，除了疫情防控动态优化，房地产行业政策频出，“三支箭”显示政策端态度期望行业回归稳健正常运行。从市场走势看，由于预期疫情防控优化及地产回暖等，伴随资金面从此前的宽松边际收敛，债市出现调整，随后引发机构踩踏，尤其是理财赎回负反馈放大了市场波动，信用债打破了此前的资产荒格局。总体来看，四季度利率走势整体呈现了明显的上行，至季末10年期国债收益率上行7bp至2.84%，3年期AA+信用债收益率上行75bp至3.57%。</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展望后市，市场多空因素交织，利率预计维持震荡格局。从利多因素分析来看，第一，为了呵护疫情放开感染高峰时期的基本面以及为信贷开门红做保障等目的，预计跨年后资金面有望保持平稳偏松；第二，跨年后机构配置需求的自然回归，将对债券资产表现形成支撑。而利空因素则主要为年初信贷开门红、两会前政策发力增长的定调可能会压制机构做多情绪。结合来看，倾向于认为年初债市调整风险可控，利率或高等级次级债、信用债等表现或好于中低等级类信用债。我们会持续关注国内宽信用效果、外部出口压力等数据及两会前后政策层面的变化。</w:t>
      </w:r>
      <w:r>
        <w:rPr>
          <w:rFonts w:hint="eastAsia" w:ascii="方正仿宋_GBK" w:eastAsia="方正仿宋_GBK" w:hAnsiTheme="minorHAnsi" w:cstheme="minorBidi"/>
          <w:sz w:val="24"/>
          <w:szCs w:val="24"/>
        </w:rPr>
        <w:br w:type="textWrapping" w:clear="all"/>
      </w:r>
      <w:r>
        <w:rPr>
          <w:rFonts w:hint="eastAsia" w:ascii="方正仿宋_GBK" w:eastAsia="方正仿宋_GBK" w:hAnsiTheme="minorHAnsi" w:cstheme="minorBidi"/>
          <w:sz w:val="24"/>
          <w:szCs w:val="24"/>
        </w:rPr>
        <w:t xml:space="preserve">    操作方面，产品延续了稳健的投资风格，持续提高利率债、存单和活期存款等高流动性资产配置，持仓结构进一步向新规靠拢，年底前全部达标，并通过适当杠杆增厚产品收益。未来拟继续坚持流动性，兼顾收益性的目标进行操作，保证流动性安全、信用风险可控的基础上为客户提供稳定的收益回报。</w:t>
      </w:r>
    </w:p>
    <w:p>
      <w:pPr>
        <w:spacing w:before="240" w:after="72" w:line="360" w:lineRule="auto"/>
        <w:rPr>
          <w:rFonts w:ascii="方正仿宋_GBK" w:eastAsia="方正仿宋_GBK"/>
          <w:b/>
          <w:sz w:val="24"/>
          <w:szCs w:val="24"/>
        </w:rPr>
      </w:pPr>
      <w:bookmarkStart w:id="0" w:name="_GoBack"/>
      <w:bookmarkEnd w:id="0"/>
      <w:r>
        <w:rPr>
          <w:rFonts w:hint="eastAsia" w:ascii="方正仿宋_GBK" w:eastAsia="方正仿宋_GBK"/>
          <w:b/>
          <w:sz w:val="24"/>
          <w:szCs w:val="24"/>
        </w:rPr>
        <w:t>3.2 报告期内产品的流动性风险分析</w:t>
      </w:r>
    </w:p>
    <w:p>
      <w:pPr>
        <w:spacing w:before="240" w:after="72" w:line="360" w:lineRule="auto"/>
        <w:rPr>
          <w:rFonts w:ascii="方正仿宋_GBK" w:eastAsia="方正仿宋_GBK" w:hAnsiTheme="minorHAnsi" w:cstheme="minorBidi"/>
          <w:sz w:val="24"/>
          <w:szCs w:val="24"/>
        </w:rPr>
      </w:pPr>
      <w:r>
        <w:rPr>
          <w:rFonts w:ascii="方正仿宋_GBK" w:eastAsia="方正仿宋_GBK" w:hAnsiTheme="minorHAnsi" w:cstheme="minorBidi"/>
          <w:sz w:val="24"/>
          <w:szCs w:val="24"/>
        </w:rPr>
        <w:t>    短期内货币政策保驾护航作用不变，关注潜在通胀和美联储加息对国内货币政策的软约束。本产品将主动控制久期，适当使用杠杆，关注节点资金波动情况，做好流动性预判和资产的到期分布安排，防范流动性风险</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3.3 报告期内产品的业绩表现</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截至报告期末，本产品A20002份额净值为1.0000元，A22001份额净值为1.0000元，A22002份额净值为1.0000元，A22004份额净值为1.0000元，A22005份额净值为1.0000元，A22006份额净值为1.0000元，A22007份额净值为1.0000元，A22008份额净值为1.0000元，A22009份额净值为1.0000元，A22010份额净值为1.0000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_GBK" w:eastAsia="方正仿宋_GBK"/>
          <w:b/>
          <w:sz w:val="24"/>
          <w:szCs w:val="24"/>
        </w:rPr>
      </w:pPr>
      <w:r>
        <w:rPr>
          <w:rFonts w:hint="eastAsia" w:ascii="方正仿宋_GBK" w:hAnsi="Calibri" w:eastAsia="方正仿宋_GBK"/>
          <w:b/>
          <w:sz w:val="24"/>
          <w:szCs w:val="24"/>
        </w:rPr>
        <w:t>§4  投资组合报告</w:t>
      </w:r>
    </w:p>
    <w:p>
      <w:pPr>
        <w:spacing w:before="240" w:after="72" w:line="360" w:lineRule="auto"/>
        <w:rPr>
          <w:rFonts w:ascii="方正仿宋_GBK" w:eastAsia="方正仿宋_GBK"/>
          <w:b/>
          <w:sz w:val="24"/>
          <w:szCs w:val="24"/>
        </w:rPr>
      </w:pPr>
      <w:r>
        <w:rPr>
          <w:rFonts w:hint="eastAsia" w:ascii="方正仿宋_GBK" w:eastAsia="方正仿宋_GBK"/>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859"/>
        <w:gridCol w:w="3002"/>
        <w:gridCol w:w="3289"/>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穿透后占总资产比例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0.00%</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b/>
          <w:sz w:val="24"/>
          <w:szCs w:val="24"/>
        </w:rPr>
      </w:pPr>
      <w:r>
        <w:rPr>
          <w:rFonts w:hint="eastAsia" w:ascii="方正仿宋_GBK" w:eastAsia="方正仿宋_GBK"/>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58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代码</w:t>
            </w:r>
          </w:p>
        </w:tc>
        <w:tc>
          <w:tcPr>
            <w:tcW w:w="271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名称</w:t>
            </w:r>
          </w:p>
        </w:tc>
        <w:tc>
          <w:tcPr>
            <w:tcW w:w="2052"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公允价值（元）</w:t>
            </w:r>
          </w:p>
        </w:tc>
        <w:tc>
          <w:tcPr>
            <w:tcW w:w="180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占产品资产净值比例（％）</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DQCKX202210310002</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中国银行同业存款20221031（002）</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DQCKX202204010001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同业存款中国银行江苏省分行20220401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3</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DQCKX202204140001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同业存款江苏银行20220414</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2.07</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4</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DQCKX202204070002</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同业存款中国银行江苏省分行20220407</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112297560</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22宁波银行CD095</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699,181,745.21</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1.45</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112204003</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22中国银行CD003</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697,712,502.81</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1.44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7</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DQCKX202204080001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同业存款长沙银行20220408</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600,000,000.00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8</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112209038</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22浦发银行CD038</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597,973,889.44</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1.24</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9</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112208040</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22中信银行CD040</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595,826,112.29</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1.23</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750"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10</w:t>
            </w:r>
          </w:p>
        </w:tc>
        <w:tc>
          <w:tcPr>
            <w:tcW w:w="1581" w:type="dxa"/>
            <w:shd w:val="clear" w:color="auto" w:fill="auto"/>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220401</w:t>
            </w:r>
          </w:p>
        </w:tc>
        <w:tc>
          <w:tcPr>
            <w:tcW w:w="271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22农发01</w:t>
            </w:r>
          </w:p>
        </w:tc>
        <w:tc>
          <w:tcPr>
            <w:tcW w:w="2052"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589,796,138.70</w:t>
            </w:r>
          </w:p>
        </w:tc>
        <w:tc>
          <w:tcPr>
            <w:tcW w:w="1807" w:type="dxa"/>
            <w:shd w:val="clear" w:color="000000" w:fill="FFFFFF"/>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1.22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_GBK" w:hAnsi="宋体" w:eastAsia="方正仿宋_GBK" w:cs="宋体"/>
          <w:b/>
          <w:sz w:val="24"/>
          <w:szCs w:val="24"/>
          <w:shd w:val="clear" w:color="auto" w:fill="FFFFFF"/>
        </w:rPr>
      </w:pPr>
      <w:r>
        <w:rPr>
          <w:rFonts w:hint="eastAsia" w:ascii="方正仿宋_GBK" w:hAnsi="宋体" w:eastAsia="方正仿宋_GBK" w:cs="宋体"/>
          <w:b/>
          <w:sz w:val="24"/>
          <w:szCs w:val="24"/>
          <w:shd w:val="clear" w:color="auto" w:fill="FFFFFF"/>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序号</w:t>
            </w:r>
          </w:p>
        </w:tc>
        <w:tc>
          <w:tcPr>
            <w:tcW w:w="1704"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融资客户</w:t>
            </w:r>
          </w:p>
        </w:tc>
        <w:tc>
          <w:tcPr>
            <w:tcW w:w="1275"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项目名称</w:t>
            </w:r>
          </w:p>
        </w:tc>
        <w:tc>
          <w:tcPr>
            <w:tcW w:w="1540"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剩余融资期限（</w:t>
            </w:r>
            <w:r>
              <w:rPr>
                <w:rFonts w:ascii="方正仿宋_GBK" w:hAnsi="仿宋_GB2312" w:eastAsia="方正仿宋_GBK" w:cs="仿宋_GB2312"/>
                <w:sz w:val="24"/>
                <w:szCs w:val="24"/>
              </w:rPr>
              <w:t>天）</w:t>
            </w:r>
          </w:p>
        </w:tc>
        <w:tc>
          <w:tcPr>
            <w:tcW w:w="1383"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到期收益分配</w:t>
            </w:r>
          </w:p>
        </w:tc>
        <w:tc>
          <w:tcPr>
            <w:tcW w:w="1271"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交易结构</w:t>
            </w:r>
          </w:p>
        </w:tc>
        <w:tc>
          <w:tcPr>
            <w:tcW w:w="876" w:type="dxa"/>
            <w:vAlign w:val="center"/>
          </w:tcPr>
          <w:p>
            <w:pPr>
              <w:spacing w:before="48" w:beforeLines="20" w:after="48" w:afterLines="20"/>
              <w:jc w:val="center"/>
              <w:rPr>
                <w:rFonts w:ascii="方正仿宋_GBK" w:hAnsi="仿宋_GB2312" w:eastAsia="方正仿宋_GBK" w:cs="仿宋_GB2312"/>
                <w:sz w:val="24"/>
                <w:szCs w:val="24"/>
              </w:rPr>
            </w:pPr>
            <w:r>
              <w:rPr>
                <w:rFonts w:hint="eastAsia" w:ascii="方正仿宋_GBK" w:hAnsi="仿宋_GB2312" w:eastAsia="方正仿宋_GBK" w:cs="仿宋_GB2312"/>
                <w:sz w:val="24"/>
                <w:szCs w:val="24"/>
              </w:rPr>
              <w:t>风险状况</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877"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704"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275"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540"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383"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1271"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c>
          <w:tcPr>
            <w:tcW w:w="876" w:type="dxa"/>
            <w:vAlign w:val="center"/>
          </w:tcPr>
          <w:p>
            <w:pPr>
              <w:spacing w:before="48" w:beforeLines="20" w:after="48" w:afterLines="20"/>
              <w:jc w:val="center"/>
              <w:textAlignment w:val="center"/>
              <w:rPr>
                <w:rFonts w:ascii="方正仿宋_GBK" w:hAnsi="仿宋_GB2312" w:eastAsia="方正仿宋_GBK" w:cs="仿宋_GB2312"/>
                <w:sz w:val="24"/>
                <w:szCs w:val="24"/>
              </w:rPr>
            </w:pPr>
            <w:r>
              <w:rPr>
                <w:rFonts w:ascii="方正仿宋_GBK" w:hAnsi="方正仿宋_GBK" w:eastAsia="方正仿宋_GBK" w:cs="方正仿宋_GBK"/>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序号</w:t>
            </w:r>
          </w:p>
        </w:tc>
        <w:tc>
          <w:tcPr>
            <w:tcW w:w="1417"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账户类型</w:t>
            </w:r>
          </w:p>
        </w:tc>
        <w:tc>
          <w:tcPr>
            <w:tcW w:w="266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账号</w:t>
            </w:r>
          </w:p>
        </w:tc>
        <w:tc>
          <w:tcPr>
            <w:tcW w:w="1983"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账户名称</w:t>
            </w:r>
          </w:p>
        </w:tc>
        <w:tc>
          <w:tcPr>
            <w:tcW w:w="1988" w:type="dxa"/>
            <w:vAlign w:val="center"/>
          </w:tcPr>
          <w:p>
            <w:pPr>
              <w:spacing w:before="48" w:beforeLines="20" w:after="48" w:afterLines="20"/>
              <w:jc w:val="center"/>
              <w:rPr>
                <w:rFonts w:ascii="方正仿宋_GBK" w:hAnsi="Calibri" w:eastAsia="方正仿宋_GBK"/>
                <w:sz w:val="24"/>
                <w:szCs w:val="24"/>
                <w:shd w:val="clear" w:color="auto" w:fill="FFFFFF"/>
              </w:rPr>
            </w:pPr>
            <w:r>
              <w:rPr>
                <w:rFonts w:hint="eastAsia" w:ascii="方正仿宋_GBK" w:hAnsi="Calibri" w:eastAsia="方正仿宋_GBK"/>
                <w:sz w:val="24"/>
                <w:szCs w:val="24"/>
                <w:shd w:val="clear" w:color="auto" w:fill="FFFFFF"/>
              </w:rPr>
              <w:t>开户单位</w:t>
            </w:r>
          </w:p>
        </w:tc>
      </w:tr>
      <w:tr>
        <w:tblPrEx>
          <w:tblBorders>
            <w:top w:val="single" w:color="000000" w:sz="0" w:space="0"/>
            <w:left w:val="single" w:color="000000" w:sz="0" w:space="0"/>
            <w:bottom w:val="single" w:color="000000" w:sz="0" w:space="0"/>
            <w:right w:val="single" w:color="000000" w:sz="0"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1</w:t>
            </w:r>
          </w:p>
        </w:tc>
        <w:tc>
          <w:tcPr>
            <w:tcW w:w="1417"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托管账户</w:t>
            </w:r>
          </w:p>
        </w:tc>
        <w:tc>
          <w:tcPr>
            <w:tcW w:w="266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0120080000000329</w:t>
            </w:r>
          </w:p>
        </w:tc>
        <w:tc>
          <w:tcPr>
            <w:tcW w:w="1983"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南京银行日日聚宝</w:t>
            </w:r>
          </w:p>
        </w:tc>
        <w:tc>
          <w:tcPr>
            <w:tcW w:w="1988" w:type="dxa"/>
            <w:vAlign w:val="center"/>
          </w:tcPr>
          <w:p>
            <w:pPr>
              <w:spacing w:before="48" w:beforeLines="20" w:after="48" w:afterLines="20"/>
              <w:jc w:val="center"/>
              <w:textAlignment w:val="center"/>
              <w:rPr>
                <w:rFonts w:ascii="方正仿宋_GBK" w:hAnsi="Calibri" w:eastAsia="方正仿宋_GBK"/>
                <w:sz w:val="24"/>
                <w:szCs w:val="24"/>
                <w:shd w:val="clear" w:color="auto" w:fill="FFFFFF"/>
              </w:rPr>
            </w:pPr>
            <w:r>
              <w:rPr>
                <w:rFonts w:ascii="方正仿宋_GBK" w:hAnsi="方正仿宋_GBK" w:eastAsia="方正仿宋_GBK" w:cs="方正仿宋_GBK"/>
                <w:sz w:val="24"/>
              </w:rPr>
              <w:t>南京银行</w:t>
            </w:r>
          </w:p>
        </w:tc>
      </w:tr>
    </w:tbl>
    <w:p>
      <w:pPr>
        <w:spacing w:after="0"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_GBK" w:eastAsia="方正仿宋_GBK"/>
          <w:b/>
          <w:sz w:val="24"/>
          <w:szCs w:val="24"/>
        </w:rPr>
      </w:pPr>
      <w:r>
        <w:rPr>
          <w:rFonts w:hint="eastAsia" w:ascii="方正仿宋_GBK" w:eastAsia="方正仿宋_GBK"/>
          <w:b/>
          <w:sz w:val="24"/>
          <w:szCs w:val="24"/>
        </w:rPr>
        <w:t>§6 关联交易情况</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报告期内，产品投资于关联方发行的证券、关联方作为融资人的非标准化债权类资产业务交易金额0.00元。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产品投资于关联方承销的证券交易金额805,057,715.63元。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产品与关联方作为交易对手开展的投融资业务交易金额4,869,772,070.58元。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产品投资关联方作为管理人的资产管理产品交易金额0.00元。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产品应支付关联方托管费2,491,715.28元，应支付关联方代销费2,347,174.93元。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产品发生其他关联交易金额0.00元。</w:t>
      </w:r>
    </w:p>
    <w:p>
      <w:pPr>
        <w:spacing w:before="240" w:after="72" w:line="360" w:lineRule="auto"/>
        <w:ind w:firstLine="480" w:firstLineChars="200"/>
        <w:rPr>
          <w:rFonts w:ascii="方正仿宋_GBK" w:eastAsia="方正仿宋_GBK" w:hAnsiTheme="minorHAnsi" w:cstheme="minorBidi"/>
          <w:sz w:val="24"/>
          <w:szCs w:val="24"/>
        </w:rPr>
      </w:pPr>
      <w:r>
        <w:rPr>
          <w:rFonts w:hint="eastAsia" w:ascii="方正仿宋_GBK" w:eastAsia="方正仿宋_GBK" w:hAnsiTheme="minorHAnsi" w:cstheme="minorBidi"/>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_GBK" w:hAnsi="Calibri" w:eastAsia="方正仿宋_GBK"/>
          <w:b/>
          <w:sz w:val="24"/>
          <w:szCs w:val="24"/>
        </w:rPr>
      </w:pPr>
      <w:r>
        <w:rPr>
          <w:rFonts w:hint="eastAsia" w:ascii="方正仿宋_GBK" w:hAnsi="Calibri" w:eastAsia="方正仿宋_GBK"/>
          <w:b/>
          <w:sz w:val="24"/>
          <w:szCs w:val="24"/>
        </w:rPr>
        <w:t>南银理财有限责任公司</w:t>
      </w:r>
    </w:p>
    <w:p>
      <w:pPr>
        <w:spacing w:before="240" w:after="72" w:line="360" w:lineRule="auto"/>
        <w:jc w:val="right"/>
        <w:rPr>
          <w:rFonts w:ascii="方正仿宋_GBK" w:eastAsia="方正仿宋_GBK"/>
          <w:b/>
          <w:sz w:val="24"/>
          <w:szCs w:val="24"/>
        </w:rPr>
      </w:pPr>
      <w:r>
        <w:rPr>
          <w:rFonts w:hint="eastAsia" w:ascii="方正仿宋_GBK" w:eastAsia="方正仿宋_GBK"/>
          <w:b/>
          <w:sz w:val="24"/>
          <w:szCs w:val="24"/>
        </w:rPr>
        <w:t>2022年12月31日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黑体_GBK">
    <w:altName w:val="Arial Unicode MS"/>
    <w:panose1 w:val="03000509000000000000"/>
    <w:charset w:val="86"/>
    <w:family w:val="script"/>
    <w:pitch w:val="default"/>
    <w:sig w:usb0="00000000" w:usb1="00000000" w:usb2="00000010" w:usb3="00000000" w:csb0="00040000" w:csb1="00000000"/>
  </w:font>
  <w:font w:name="方正黑体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72C9"/>
    <w:rsid w:val="00B146F0"/>
    <w:rsid w:val="00B23FA8"/>
    <w:rsid w:val="00B30356"/>
    <w:rsid w:val="00B31DA4"/>
    <w:rsid w:val="00B31E80"/>
    <w:rsid w:val="00B40016"/>
    <w:rsid w:val="00B54020"/>
    <w:rsid w:val="00B6652C"/>
    <w:rsid w:val="00B74684"/>
    <w:rsid w:val="00B86805"/>
    <w:rsid w:val="00B921B8"/>
    <w:rsid w:val="00BA2C30"/>
    <w:rsid w:val="00BA4534"/>
    <w:rsid w:val="00BB1418"/>
    <w:rsid w:val="00BC2953"/>
    <w:rsid w:val="00BD0BFD"/>
    <w:rsid w:val="00C14418"/>
    <w:rsid w:val="00C62A28"/>
    <w:rsid w:val="00CA36B2"/>
    <w:rsid w:val="00CA4B23"/>
    <w:rsid w:val="00CB67FC"/>
    <w:rsid w:val="00CC703B"/>
    <w:rsid w:val="00CF49CF"/>
    <w:rsid w:val="00D0321E"/>
    <w:rsid w:val="00D1704F"/>
    <w:rsid w:val="00D22C40"/>
    <w:rsid w:val="00D35825"/>
    <w:rsid w:val="00D46EBF"/>
    <w:rsid w:val="00D61130"/>
    <w:rsid w:val="00D873B3"/>
    <w:rsid w:val="00DA576C"/>
    <w:rsid w:val="00DA57F4"/>
    <w:rsid w:val="00DB4AFE"/>
    <w:rsid w:val="00DD60D3"/>
    <w:rsid w:val="00DE6F49"/>
    <w:rsid w:val="00E07C77"/>
    <w:rsid w:val="00E2696A"/>
    <w:rsid w:val="00E41BB2"/>
    <w:rsid w:val="00E463CC"/>
    <w:rsid w:val="00E60602"/>
    <w:rsid w:val="00E66EA9"/>
    <w:rsid w:val="00E76CD6"/>
    <w:rsid w:val="00EA36AD"/>
    <w:rsid w:val="00EB538F"/>
    <w:rsid w:val="00EB5E48"/>
    <w:rsid w:val="00EB6923"/>
    <w:rsid w:val="00EF160C"/>
    <w:rsid w:val="00EF651B"/>
    <w:rsid w:val="00F02F01"/>
    <w:rsid w:val="00F11AF8"/>
    <w:rsid w:val="00F12482"/>
    <w:rsid w:val="00F35159"/>
    <w:rsid w:val="00F4518F"/>
    <w:rsid w:val="00F62D3E"/>
    <w:rsid w:val="00F81FB3"/>
    <w:rsid w:val="00F91E69"/>
    <w:rsid w:val="00F95842"/>
    <w:rsid w:val="00FA4B34"/>
    <w:rsid w:val="00FD3F28"/>
    <w:rsid w:val="00FD4626"/>
    <w:rsid w:val="138B4249"/>
    <w:rsid w:val="1F1A3BC0"/>
    <w:rsid w:val="2651710C"/>
    <w:rsid w:val="2C5F4270"/>
    <w:rsid w:val="341F714B"/>
    <w:rsid w:val="348C3024"/>
    <w:rsid w:val="4DE0085D"/>
    <w:rsid w:val="57DD4EC8"/>
    <w:rsid w:val="6115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30"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F7D9B9EB.dotm</Template>
  <Company>cc</Company>
  <Pages>5</Pages>
  <Words>315</Words>
  <Characters>1799</Characters>
  <Lines>14</Lines>
  <Paragraphs>4</Paragraphs>
  <TotalTime>0</TotalTime>
  <ScaleCrop>false</ScaleCrop>
  <LinksUpToDate>false</LinksUpToDate>
  <CharactersWithSpaces>2110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2022-08-03T07:42:00Z</dcterms:created>
  <dc:creator>演示人</dc:creator>
  <cp:lastModifiedBy>兆尹科技</cp:lastModifiedBy>
  <dcterms:modified xsi:type="dcterms:W3CDTF">2023-01-13T08:41:07Z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65B57D7BDF384424A76A3B84B5FDE380</vt:lpwstr>
  </property>
</Properties>
</file>