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南银理财珠联璧合鑫逸稳增强两年10期封闭式公募人民币理财产品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南银理财珠联璧合鑫逸稳增强两年10期封闭式公募人民币理财产品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Z7003222000011（投资者可依据该编码在中国理财网www.chinawealth.com.cn查询理财产品相关信息）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2022年02月09日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183,719,807.00份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华夏基金管理有限公司、鑫元基金管理有限公司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Y40010</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187,720,787.40</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1.0217</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1.0217</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往后看，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结合来看，倾向于认为年初债市调整风险可控，利率或高等级次级债、信用债等表现或好于中低等级类信用债。我们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本产品投资的非标准化债权类资产底层主要为江浙地区优质城投企业。截至2022年末，本产品所投非标准化债权类资产的融资人还本付息情况良好，再融资及各项经营活动正常。受银保监会15号文持续约束，城投平台借款增速同比下降；同时今年以来涉隐债主体基本只允许借新还旧，使得半数以上省份净融资额同比缩量，但宽信用加码仍在稳增长，包括专项债、政策性金融工具等都会带来增量资金。整体来看，当前的资源将继续向优质主体倾斜，平台层级继续提升，各层级平台之间在逐步出现分化，信用利差扩大，而当前城投融资的各路径仍面临限制，借新还旧为主。但相对来说，江浙地区城投公司依然保持稳定，市场化经营业务有利于城投公司获取稳定现金流，提升融资能力。江浙地区的城投公司在基础设施建设业务方面的可持续性较强，信用风险和流动性风险整体可控。本产品投资的非标准化债权类资产以持有至到期为目的，获取稳定投资收益。</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权益方面，2022年压制权益市场的负面因素较多，国内由于疫情防控、房地产调控导致经济衰退，国外通胀高企后流动性超预期收紧，叠加海外地缘冲突等黑天鹅事件频发，权益类资产的全年下跌幅度较大，沪深300指数跌幅达到-22%，该跌幅近十年来仅次于2018年。全年中，基本面的亮点主要集中在新老能源，其中新能源赛道一度受益于复工复产而出现明显股价反弹但全年跌幅依然排名靠前，新半军为代表的赛道成长板块股价受制于持仓拥挤和交易博弈的现象较为普遍，反观煤炭、石油为代表的老能源同时受益于基本面和估值的修复，其他与经济周期相关的下游消费、中游制造在经济下行阶段也难以有明显的超额。权益部分全年仓位偏防守，其中对于基金重仓的消费、新能源板块阶段性规避，对煤炭为代表的周期以及医药、信创等板块择机超配，是全年超额收益的主要来源。四季度特别是11月以来，我们看到疫情防控、房地产调控政策出现了明显的转向，说明国家安全和经济发展是一体两面而非左右互搏，叠加货币、财政政策可以预期的适度放松，而海外的通胀在高位徘徊后出现环比回落，加息收紧的节奏也开始趋缓，整年压制权益市场的负面因素几乎都出现了缓解，同时目前股市估值对应的股债性价比依然处于过去十年80%以上分位数，权益资产具备中长期配置的优势，产品将维持更为积极的权益仓</w:t>
      </w:r>
      <w:bookmarkStart w:id="0" w:name="_GoBack"/>
      <w:bookmarkEnd w:id="0"/>
      <w:r>
        <w:rPr>
          <w:rFonts w:hint="eastAsia" w:ascii="方正仿宋_GBK" w:eastAsia="方正仿宋_GBK" w:hAnsiTheme="minorHAnsi" w:cstheme="minorBidi"/>
          <w:sz w:val="24"/>
          <w:szCs w:val="24"/>
        </w:rPr>
        <w:t>位，以应对经济复苏、流动性宽松的有利宏观组合。</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产品投资的非标准化债权类资产到期日不晚于产品到期日，债券部分主要投向AA评级以上优质主体债券，权益持仓中维持合理比例高流动性资产，产品整体流动性风险可控。本产品提前做好关键时点资金储备，保障流动性安全，下阶段将继续控制流动性风险。</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截至报告期末，本产品份额净值为1.0217元。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91.55%</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94.17%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2.80%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8.45%</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3.03%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2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8"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22088163</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22扬中绿洲01</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88,000,000.00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46.88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ZJQTT202103220001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鑫元基金-鑫安利得52号集合资产管理计划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78,752,950.91</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41.95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HHQTT202103300001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华夏基金宁益1号集合资产管理计划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15,900,331.56</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8.47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扬中绿洲新城实业集团有限公司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22扬中绿洲01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0120030000000751</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南银理财鑫逸稳增强两年10期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产品应支付关联方托管费9,464.74元，应支付关联方代销费40,752.67元。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AF20311"/>
    <w:rsid w:val="1F1A3BC0"/>
    <w:rsid w:val="1FE50445"/>
    <w:rsid w:val="2651710C"/>
    <w:rsid w:val="2B4F70BA"/>
    <w:rsid w:val="2C5F4270"/>
    <w:rsid w:val="341F714B"/>
    <w:rsid w:val="4C305FCF"/>
    <w:rsid w:val="51BF0246"/>
    <w:rsid w:val="57DD4EC8"/>
    <w:rsid w:val="611546EB"/>
    <w:rsid w:val="6FE0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2554</Words>
  <Characters>2896</Characters>
  <Lines>14</Lines>
  <Paragraphs>4</Paragraphs>
  <TotalTime>36</TotalTime>
  <ScaleCrop>false</ScaleCrop>
  <LinksUpToDate>false</LinksUpToDate>
  <CharactersWithSpaces>2929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2023-01-13T10:53:18Z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398598093EA246A0BE68388906644CA4</vt:lpwstr>
  </property>
</Properties>
</file>