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南银理财珠联璧合鑫悦享月月盈公募人民币理财产品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南银理财珠联璧合鑫悦享月月盈公募人民币理财产品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Z7003220000010（投资者可依据该编码在中国理财网www.chinawealth.com.cn查询理财产品相关信息）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开放式净值型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2019年09月26日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4,496,081,729.83份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Z40002</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3,840,498,160.80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1.0395</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1.1316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Z40007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656,897,913.80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1.0414</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1.0685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Z41002</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177,684,987.81</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1.0399</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1.0399</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往后看，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产品始终围绕稳健回报的收益目标进行操作，通过持有信用资质较好、绝对收益相对较高的信用债、银行存款作为底仓，在获取稳定可靠的票息收益同时，保证产品的流动性安全。基于对后市的</w:t>
      </w:r>
      <w:bookmarkStart w:id="0" w:name="_GoBack"/>
      <w:bookmarkEnd w:id="0"/>
      <w:r>
        <w:rPr>
          <w:rFonts w:hint="eastAsia" w:ascii="方正仿宋_GBK" w:eastAsia="方正仿宋_GBK" w:hAnsiTheme="minorHAnsi" w:cstheme="minorBidi"/>
          <w:sz w:val="24"/>
          <w:szCs w:val="24"/>
        </w:rPr>
        <w:t>判断，产品将灵活调整杠杆与久期，实现产品净值在合理区间内保持相对稳定，同时优选套息价值更好的中短端利率与信用债获取超额收益。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截至报告期末，本产品Z40002份额净值为1.0395元，Z40007份额净值为1.0414元，Z41002份额净值为1.0399元。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220301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22进出01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200,047,200.00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4.28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162939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20六新01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120,366,401.54</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2.57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162142</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19嵊州03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110,026,224.23</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2.35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166059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20溧开01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2.35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121718001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17紫金科技PRN001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100,137,200.00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162578</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19柯岩01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032000140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20临海基投(疫情防控债)PPN002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99,896,400.00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162394</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19惠投02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99,811,509.79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150858</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18六合02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92,987,687.32</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167482</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20柯资01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91,744,200.00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0120040000000331</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南京银行鑫悦享月月盈</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产品投资于关联方承销的证券交易金额120,467,561.65元。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产品与关联方作为交易对手开展的投融资业务交易金额2,733,750,474.01元。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产品投资关联方作为管理人的资产管理产品交易金额420,000,000.00元。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产品应支付关联方托管费466,004.94元，应支付关联方代销费3,575,478.93元。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7F80663"/>
    <w:rsid w:val="2C5F4270"/>
    <w:rsid w:val="341F714B"/>
    <w:rsid w:val="513801AD"/>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1740</Words>
  <Characters>2333</Characters>
  <Lines>14</Lines>
  <Paragraphs>4</Paragraphs>
  <TotalTime>0</TotalTime>
  <ScaleCrop>false</ScaleCrop>
  <LinksUpToDate>false</LinksUpToDate>
  <CharactersWithSpaces>2366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2023-01-13T10:23:04Z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