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南银理财珠联璧合鑫逸稳一年54期封闭式公募人民币理财产品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5"/>
        <w:tblpPr w:leftFromText="180" w:rightFromText="180" w:vertAnchor="text" w:tblpY="1"/>
        <w:tblOverlap w:val="never"/>
        <w:tblW w:w="889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南银理财珠联璧合鑫逸稳一年54期封闭式公募人民币理财产品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Z7003222000022（投资者可依据该编码在中国理财网www.chinawealth.com.cn查询理财产品相关信息）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封闭式净值型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2022年03月30日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2,352,342,465.38份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南方基金管理股份有限公司、华夏基金管理有限公司、鹏华基金管理有限公司、鑫元基金管理有限公司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5"/>
        <w:tblpPr w:leftFromText="180" w:rightFromText="180" w:vertAnchor="text" w:tblpXSpec="center" w:tblpY="1"/>
        <w:tblOverlap w:val="never"/>
        <w:tblW w:w="9067"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Y30054</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2,413,281,408.02</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1.0259</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1.0259</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417"/>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影响，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开年信贷投放做保障等目的，预计跨年后资金面有望保持平稳偏松；第二，跨年后机构配置需求的自然回归，将对债券资产表现形成支撑。而利空因素则主要为年初信贷开门红、两会前政策发力增长的定调可能会压制机构做多情绪。综合来看，我们倾向于认为年初债市调整风险可控，利率或高等级次级债、信用债等表现或好于中低等级类信用债，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报告期内，本产品以帮客</w:t>
      </w:r>
      <w:bookmarkStart w:id="0" w:name="_GoBack"/>
      <w:bookmarkEnd w:id="0"/>
      <w:r>
        <w:rPr>
          <w:rFonts w:hint="eastAsia" w:ascii="方正仿宋_GBK" w:eastAsia="方正仿宋_GBK" w:hAnsiTheme="minorHAnsi" w:cstheme="minorBidi"/>
          <w:sz w:val="24"/>
          <w:szCs w:val="24"/>
        </w:rPr>
        <w:t>户实现稳定收益为目标，力求产品净值的稳定增长，产品主要投资于定制债券专户及优质非标债权资产，其中专户严把信用风险、注重分散投资、灵活管理久期，非标债权资产严选标的、锁定收益。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截至报告期末，本产品份额净值为1.0259元。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5"/>
        <w:tblpPr w:leftFromText="180" w:rightFromText="180" w:vertAnchor="text" w:tblpXSpec="center" w:tblpY="1"/>
        <w:tblOverlap w:val="never"/>
        <w:tblW w:w="8895"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2976"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61"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2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8"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ZJQTT202202230001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鑫元基金-鑫安利得59号集合资产管理计划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406,630,716.99</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16.85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ZJQTT202103220001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鑫元基金-鑫安利得52号集合资产管理计划</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387,602,172.05</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16.06</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ZZGJT202005290001</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鑫元基金-鑫安利得51号</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301,749,911.26</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12.50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22088477</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22泰州交通01</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12.43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22088466</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22射阳城建01</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8.29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22088465</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22连云市政05</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8.29</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22088486</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22盐城国投04</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22088419</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22神舟旅游01</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22088447</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22宿迁高新01</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5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w:t>
            </w:r>
          </w:p>
        </w:tc>
        <w:tc>
          <w:tcPr>
            <w:tcW w:w="1585"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22088458</w:t>
            </w:r>
          </w:p>
        </w:tc>
        <w:tc>
          <w:tcPr>
            <w:tcW w:w="2720"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22扬州安康03</w:t>
            </w:r>
          </w:p>
        </w:tc>
        <w:tc>
          <w:tcPr>
            <w:tcW w:w="2058"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w:t>
            </w:r>
          </w:p>
        </w:tc>
        <w:tc>
          <w:tcPr>
            <w:tcW w:w="18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4.14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5"/>
        <w:tblpPr w:leftFromText="180" w:rightFromText="180" w:vertAnchor="text" w:tblpXSpec="center" w:tblpY="1"/>
        <w:tblOverlap w:val="never"/>
        <w:tblW w:w="8926"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盐城市国有资产投资集团有限公司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22盐城国投04</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105</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射阳城市建设发展集团有限公司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22射阳城建01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98</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连云港市市政公用有限公司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22连云市政05</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泰州市交通产业集团有限公司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22泰州交通01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103</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扬州安康产业投资有限公司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22扬州安康03</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92</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江苏洪泽湖神舟旅游开发有限公司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22神舟旅游01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宿迁高新开发投资有限公司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22宿迁高新01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连云港海州工业投资集团有限公司</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22海州工投01</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90</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利随本清</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理财直接融资工具</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5"/>
        <w:tblpPr w:leftFromText="180" w:rightFromText="180" w:vertAnchor="text" w:tblpXSpec="center" w:tblpY="1"/>
        <w:tblOverlap w:val="never"/>
        <w:tblW w:w="8902" w:type="dxa"/>
        <w:jc w:val="center"/>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0120010000000790</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南银理财鑫逸稳一年54期</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产品应支付关联方托管费121,864.67元，应支付关联方代销费1,123,860.02元。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0BEA7692"/>
    <w:rsid w:val="138B4249"/>
    <w:rsid w:val="150E3D68"/>
    <w:rsid w:val="1F1A3BC0"/>
    <w:rsid w:val="2651710C"/>
    <w:rsid w:val="2C5F4270"/>
    <w:rsid w:val="341F714B"/>
    <w:rsid w:val="4AF869CF"/>
    <w:rsid w:val="542E3461"/>
    <w:rsid w:val="57DD4EC8"/>
    <w:rsid w:val="611546EB"/>
    <w:rsid w:val="6F8F4176"/>
    <w:rsid w:val="796B6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F7D9B9EB.dotm</Template>
  <Company>cc</Company>
  <Pages>7</Pages>
  <Words>2019</Words>
  <Characters>2565</Characters>
  <Lines>14</Lines>
  <Paragraphs>4</Paragraphs>
  <TotalTime>36</TotalTime>
  <ScaleCrop>false</ScaleCrop>
  <LinksUpToDate>false</LinksUpToDate>
  <CharactersWithSpaces>2594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笨</cp:lastModifiedBy>
  <dcterms:modified xsi:type="dcterms:W3CDTF">2023-01-13T11:14:32Z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DF7581F8DF12421CA42F383A67202A6D</vt:lpwstr>
  </property>
</Properties>
</file>