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杭银理财-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幸福99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季添益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(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平衡型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)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周申季赎理财（TYGZ3M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2101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）2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023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年度开放周期公告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尊敬的投资者：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杭银理财幸福99季添益(平衡型)周申季赎理财（产品编号：</w:t>
      </w:r>
      <w:r>
        <w:rPr>
          <w:rFonts w:ascii="宋体" w:hAnsi="宋体" w:cs="宋体"/>
          <w:color w:val="333333"/>
          <w:kern w:val="0"/>
          <w:sz w:val="24"/>
          <w:szCs w:val="24"/>
        </w:rPr>
        <w:t>TYGZ3M2101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）202</w:t>
      </w: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年申购开放期和赎回开放期安排如下，请投资者提前做好投资安排。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申购开放期除以下特殊安排外，202</w:t>
      </w: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年每个工作日为申购开放日，每周三为申购确认日，每周三至下周二17:00前的申购将在下周三进行确认。</w:t>
      </w:r>
    </w:p>
    <w:tbl>
      <w:tblPr>
        <w:tblStyle w:val="7"/>
        <w:tblW w:w="84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2410"/>
        <w:gridCol w:w="1559"/>
        <w:gridCol w:w="1559"/>
        <w:gridCol w:w="203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开放周期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确认日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交易类型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2023-01-1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9:00至2023-01-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31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01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29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06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07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26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09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27 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9:00至2023-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申购开放期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可申购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赎回开放期安排如下。</w:t>
      </w:r>
    </w:p>
    <w:tbl>
      <w:tblPr>
        <w:tblStyle w:val="7"/>
        <w:tblW w:w="84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6"/>
        <w:gridCol w:w="2410"/>
        <w:gridCol w:w="1559"/>
        <w:gridCol w:w="1559"/>
        <w:gridCol w:w="203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时间安排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开放周期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确认日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交易类型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-1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-1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-1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2023-0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9:00至2023-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-1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 xml:space="preserve"> 17:00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赎回开放期</w:t>
            </w:r>
          </w:p>
        </w:tc>
        <w:tc>
          <w:tcPr>
            <w:tcW w:w="15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2023-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-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0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 w:line="360" w:lineRule="auto"/>
              <w:contextualSpacing/>
              <w:jc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可赎回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开放期最后一日及确认日如遇非工作日，则依次顺延至下一工作日。特此公告。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ascii="宋体" w:hAnsi="宋体" w:cs="宋体"/>
          <w:color w:val="333333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 w:line="300" w:lineRule="atLeast"/>
        <w:jc w:val="right"/>
        <w:rPr>
          <w:rFonts w:ascii="微软雅黑" w:hAnsi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cs="宋体"/>
          <w:color w:val="333333"/>
          <w:kern w:val="0"/>
          <w:sz w:val="24"/>
          <w:szCs w:val="24"/>
        </w:rPr>
        <w:t>杭银理财有限责任公司</w:t>
      </w:r>
    </w:p>
    <w:p>
      <w:pPr>
        <w:widowControl/>
        <w:spacing w:before="100" w:beforeAutospacing="1" w:after="100" w:afterAutospacing="1" w:line="300" w:lineRule="atLeast"/>
        <w:jc w:val="righ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202</w:t>
      </w: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ascii="宋体" w:hAnsi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ascii="宋体" w:hAnsi="宋体" w:cs="宋体"/>
          <w:color w:val="333333"/>
          <w:kern w:val="0"/>
          <w:sz w:val="24"/>
          <w:szCs w:val="24"/>
        </w:rPr>
        <w:t>7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350"/>
    <w:rsid w:val="00006CF1"/>
    <w:rsid w:val="000118A6"/>
    <w:rsid w:val="000442DA"/>
    <w:rsid w:val="000558A4"/>
    <w:rsid w:val="00062CEE"/>
    <w:rsid w:val="00070C49"/>
    <w:rsid w:val="00071EFC"/>
    <w:rsid w:val="00073598"/>
    <w:rsid w:val="00074BE8"/>
    <w:rsid w:val="00076132"/>
    <w:rsid w:val="00092F9F"/>
    <w:rsid w:val="00097CA9"/>
    <w:rsid w:val="000B7DE7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75197"/>
    <w:rsid w:val="00181535"/>
    <w:rsid w:val="0018281F"/>
    <w:rsid w:val="00190328"/>
    <w:rsid w:val="001A00AB"/>
    <w:rsid w:val="001A0D3E"/>
    <w:rsid w:val="001A283A"/>
    <w:rsid w:val="001A66ED"/>
    <w:rsid w:val="001A78D6"/>
    <w:rsid w:val="001B0197"/>
    <w:rsid w:val="001B0444"/>
    <w:rsid w:val="001B29B4"/>
    <w:rsid w:val="001B2EED"/>
    <w:rsid w:val="001B425B"/>
    <w:rsid w:val="001D1FF9"/>
    <w:rsid w:val="001D2836"/>
    <w:rsid w:val="001F7F88"/>
    <w:rsid w:val="002007DF"/>
    <w:rsid w:val="00201118"/>
    <w:rsid w:val="002050D9"/>
    <w:rsid w:val="0022235F"/>
    <w:rsid w:val="00230819"/>
    <w:rsid w:val="00243C94"/>
    <w:rsid w:val="00244C6C"/>
    <w:rsid w:val="00250231"/>
    <w:rsid w:val="002529C2"/>
    <w:rsid w:val="0025477B"/>
    <w:rsid w:val="00254C42"/>
    <w:rsid w:val="00275D22"/>
    <w:rsid w:val="002845E2"/>
    <w:rsid w:val="00290F7E"/>
    <w:rsid w:val="0029595B"/>
    <w:rsid w:val="002A112B"/>
    <w:rsid w:val="002B5BBB"/>
    <w:rsid w:val="002B7C2D"/>
    <w:rsid w:val="002C7927"/>
    <w:rsid w:val="002E6903"/>
    <w:rsid w:val="00300C1B"/>
    <w:rsid w:val="0030149C"/>
    <w:rsid w:val="003109BF"/>
    <w:rsid w:val="00312EF0"/>
    <w:rsid w:val="00327096"/>
    <w:rsid w:val="003519B0"/>
    <w:rsid w:val="003550B9"/>
    <w:rsid w:val="00366016"/>
    <w:rsid w:val="00394430"/>
    <w:rsid w:val="0039755F"/>
    <w:rsid w:val="003A0BD7"/>
    <w:rsid w:val="003A7799"/>
    <w:rsid w:val="003C1FAA"/>
    <w:rsid w:val="003F2A17"/>
    <w:rsid w:val="00401C84"/>
    <w:rsid w:val="0040591F"/>
    <w:rsid w:val="00412D7F"/>
    <w:rsid w:val="00412E0B"/>
    <w:rsid w:val="00421FA4"/>
    <w:rsid w:val="00430360"/>
    <w:rsid w:val="00455DF0"/>
    <w:rsid w:val="0045796B"/>
    <w:rsid w:val="00466E91"/>
    <w:rsid w:val="00471700"/>
    <w:rsid w:val="00481420"/>
    <w:rsid w:val="004861EE"/>
    <w:rsid w:val="00487843"/>
    <w:rsid w:val="00492DBD"/>
    <w:rsid w:val="00494E0F"/>
    <w:rsid w:val="004A17CA"/>
    <w:rsid w:val="004C52AA"/>
    <w:rsid w:val="004D6D58"/>
    <w:rsid w:val="004F1CCE"/>
    <w:rsid w:val="00500254"/>
    <w:rsid w:val="00502E31"/>
    <w:rsid w:val="00510A03"/>
    <w:rsid w:val="0052255C"/>
    <w:rsid w:val="0052500D"/>
    <w:rsid w:val="00536FF0"/>
    <w:rsid w:val="00544A92"/>
    <w:rsid w:val="00567273"/>
    <w:rsid w:val="00570BAA"/>
    <w:rsid w:val="0058214E"/>
    <w:rsid w:val="0058290C"/>
    <w:rsid w:val="005858C5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039E"/>
    <w:rsid w:val="006176F1"/>
    <w:rsid w:val="00623379"/>
    <w:rsid w:val="006512D9"/>
    <w:rsid w:val="00654E01"/>
    <w:rsid w:val="006568C9"/>
    <w:rsid w:val="00674360"/>
    <w:rsid w:val="00676B49"/>
    <w:rsid w:val="006779EE"/>
    <w:rsid w:val="006860A9"/>
    <w:rsid w:val="006A0142"/>
    <w:rsid w:val="006A3CC0"/>
    <w:rsid w:val="006B34F4"/>
    <w:rsid w:val="006E358F"/>
    <w:rsid w:val="0071452F"/>
    <w:rsid w:val="007160F8"/>
    <w:rsid w:val="00717350"/>
    <w:rsid w:val="00731B36"/>
    <w:rsid w:val="00737CAF"/>
    <w:rsid w:val="00765CDE"/>
    <w:rsid w:val="00767912"/>
    <w:rsid w:val="00770C9C"/>
    <w:rsid w:val="007804FF"/>
    <w:rsid w:val="007846AB"/>
    <w:rsid w:val="00784998"/>
    <w:rsid w:val="0079002F"/>
    <w:rsid w:val="007B34B8"/>
    <w:rsid w:val="007C1506"/>
    <w:rsid w:val="007C79B3"/>
    <w:rsid w:val="007D0A1C"/>
    <w:rsid w:val="007D130B"/>
    <w:rsid w:val="007F0A46"/>
    <w:rsid w:val="007F15B3"/>
    <w:rsid w:val="007F3F91"/>
    <w:rsid w:val="00802159"/>
    <w:rsid w:val="00812B15"/>
    <w:rsid w:val="00821DDC"/>
    <w:rsid w:val="00827A4D"/>
    <w:rsid w:val="00855017"/>
    <w:rsid w:val="00864ED2"/>
    <w:rsid w:val="00866CFD"/>
    <w:rsid w:val="00873397"/>
    <w:rsid w:val="008759B8"/>
    <w:rsid w:val="0087685F"/>
    <w:rsid w:val="008B759B"/>
    <w:rsid w:val="008C1928"/>
    <w:rsid w:val="008C57A7"/>
    <w:rsid w:val="008D203D"/>
    <w:rsid w:val="008D3FEF"/>
    <w:rsid w:val="008D651A"/>
    <w:rsid w:val="008F1872"/>
    <w:rsid w:val="00907312"/>
    <w:rsid w:val="009263F7"/>
    <w:rsid w:val="00931B3F"/>
    <w:rsid w:val="0094532F"/>
    <w:rsid w:val="00961BAF"/>
    <w:rsid w:val="0096708E"/>
    <w:rsid w:val="00967E23"/>
    <w:rsid w:val="009743AB"/>
    <w:rsid w:val="009764A7"/>
    <w:rsid w:val="00976DDB"/>
    <w:rsid w:val="009A3327"/>
    <w:rsid w:val="009B1E52"/>
    <w:rsid w:val="009C1FBA"/>
    <w:rsid w:val="009C25FF"/>
    <w:rsid w:val="009C6403"/>
    <w:rsid w:val="009E15E9"/>
    <w:rsid w:val="00A17FEA"/>
    <w:rsid w:val="00A32213"/>
    <w:rsid w:val="00A36254"/>
    <w:rsid w:val="00A51927"/>
    <w:rsid w:val="00A56235"/>
    <w:rsid w:val="00A56DCA"/>
    <w:rsid w:val="00A56F99"/>
    <w:rsid w:val="00A65CDA"/>
    <w:rsid w:val="00A76DD3"/>
    <w:rsid w:val="00A91B76"/>
    <w:rsid w:val="00A922AE"/>
    <w:rsid w:val="00AB1ED2"/>
    <w:rsid w:val="00AB4337"/>
    <w:rsid w:val="00AB5A0E"/>
    <w:rsid w:val="00AC14D5"/>
    <w:rsid w:val="00AC40B8"/>
    <w:rsid w:val="00AD0689"/>
    <w:rsid w:val="00AE0254"/>
    <w:rsid w:val="00AE5868"/>
    <w:rsid w:val="00AE6A86"/>
    <w:rsid w:val="00B14BCF"/>
    <w:rsid w:val="00B247D6"/>
    <w:rsid w:val="00B25F58"/>
    <w:rsid w:val="00B34A82"/>
    <w:rsid w:val="00B40363"/>
    <w:rsid w:val="00B409A1"/>
    <w:rsid w:val="00B47990"/>
    <w:rsid w:val="00B73378"/>
    <w:rsid w:val="00B73F52"/>
    <w:rsid w:val="00B77BE3"/>
    <w:rsid w:val="00BA1FBB"/>
    <w:rsid w:val="00BA245B"/>
    <w:rsid w:val="00BB4715"/>
    <w:rsid w:val="00BC49E1"/>
    <w:rsid w:val="00BD2BAE"/>
    <w:rsid w:val="00BE6534"/>
    <w:rsid w:val="00BE7A85"/>
    <w:rsid w:val="00BF382A"/>
    <w:rsid w:val="00BF63D7"/>
    <w:rsid w:val="00C15CB7"/>
    <w:rsid w:val="00C852E5"/>
    <w:rsid w:val="00C9055B"/>
    <w:rsid w:val="00CB17B3"/>
    <w:rsid w:val="00CB5734"/>
    <w:rsid w:val="00CB6288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520EA"/>
    <w:rsid w:val="00D76B72"/>
    <w:rsid w:val="00DA5F21"/>
    <w:rsid w:val="00DA79CA"/>
    <w:rsid w:val="00DB232A"/>
    <w:rsid w:val="00DC2E83"/>
    <w:rsid w:val="00E05A48"/>
    <w:rsid w:val="00E1298F"/>
    <w:rsid w:val="00E224AF"/>
    <w:rsid w:val="00E30646"/>
    <w:rsid w:val="00E33636"/>
    <w:rsid w:val="00E33FE4"/>
    <w:rsid w:val="00E6604F"/>
    <w:rsid w:val="00E66C1C"/>
    <w:rsid w:val="00E72220"/>
    <w:rsid w:val="00E73086"/>
    <w:rsid w:val="00EB40F8"/>
    <w:rsid w:val="00EC51CC"/>
    <w:rsid w:val="00EC710A"/>
    <w:rsid w:val="00EF05E4"/>
    <w:rsid w:val="00EF3498"/>
    <w:rsid w:val="00EF7A48"/>
    <w:rsid w:val="00F203EE"/>
    <w:rsid w:val="00F337A4"/>
    <w:rsid w:val="00F47FB7"/>
    <w:rsid w:val="00F63201"/>
    <w:rsid w:val="00F65C91"/>
    <w:rsid w:val="00F73C73"/>
    <w:rsid w:val="00F77D32"/>
    <w:rsid w:val="00F87F77"/>
    <w:rsid w:val="00F96CF0"/>
    <w:rsid w:val="00FA604F"/>
    <w:rsid w:val="00FA7DB1"/>
    <w:rsid w:val="00FB225D"/>
    <w:rsid w:val="00FD3999"/>
    <w:rsid w:val="00FE163A"/>
    <w:rsid w:val="00FF64F8"/>
    <w:rsid w:val="01435662"/>
    <w:rsid w:val="01E705E0"/>
    <w:rsid w:val="02FC366D"/>
    <w:rsid w:val="05277688"/>
    <w:rsid w:val="09541EE8"/>
    <w:rsid w:val="0EB97F4C"/>
    <w:rsid w:val="122971FB"/>
    <w:rsid w:val="13E56CE4"/>
    <w:rsid w:val="14384F22"/>
    <w:rsid w:val="163C0984"/>
    <w:rsid w:val="16732B82"/>
    <w:rsid w:val="16FB49C3"/>
    <w:rsid w:val="18E8766F"/>
    <w:rsid w:val="1B4125B0"/>
    <w:rsid w:val="1BF76AB0"/>
    <w:rsid w:val="1C3755CE"/>
    <w:rsid w:val="1D3E34CD"/>
    <w:rsid w:val="1E966E46"/>
    <w:rsid w:val="1EAE3351"/>
    <w:rsid w:val="1EFB1DBA"/>
    <w:rsid w:val="1F8D7BB0"/>
    <w:rsid w:val="200B66D3"/>
    <w:rsid w:val="24174BDC"/>
    <w:rsid w:val="25E953E4"/>
    <w:rsid w:val="272E13E1"/>
    <w:rsid w:val="27F21138"/>
    <w:rsid w:val="29F30773"/>
    <w:rsid w:val="2AF16F7B"/>
    <w:rsid w:val="2AF66FB8"/>
    <w:rsid w:val="317A6919"/>
    <w:rsid w:val="32CD783D"/>
    <w:rsid w:val="3592493D"/>
    <w:rsid w:val="3851103B"/>
    <w:rsid w:val="39A77E81"/>
    <w:rsid w:val="39D2644A"/>
    <w:rsid w:val="3A087C22"/>
    <w:rsid w:val="3ADF572B"/>
    <w:rsid w:val="3C727621"/>
    <w:rsid w:val="3D4944B5"/>
    <w:rsid w:val="3D8444A0"/>
    <w:rsid w:val="3ED929CC"/>
    <w:rsid w:val="3F6722C6"/>
    <w:rsid w:val="420946B3"/>
    <w:rsid w:val="429976EC"/>
    <w:rsid w:val="449F3B05"/>
    <w:rsid w:val="46812010"/>
    <w:rsid w:val="46E4788B"/>
    <w:rsid w:val="479F5EC7"/>
    <w:rsid w:val="48876363"/>
    <w:rsid w:val="4AC64E90"/>
    <w:rsid w:val="4D246484"/>
    <w:rsid w:val="4EB91F73"/>
    <w:rsid w:val="4FBE33CC"/>
    <w:rsid w:val="4FF91C6F"/>
    <w:rsid w:val="50447C58"/>
    <w:rsid w:val="56722D77"/>
    <w:rsid w:val="5F0F41EC"/>
    <w:rsid w:val="60522BAD"/>
    <w:rsid w:val="648F3F27"/>
    <w:rsid w:val="65C651FB"/>
    <w:rsid w:val="69E24606"/>
    <w:rsid w:val="6D606902"/>
    <w:rsid w:val="7123064B"/>
    <w:rsid w:val="770959F7"/>
    <w:rsid w:val="778C2239"/>
    <w:rsid w:val="79512391"/>
    <w:rsid w:val="79F548FD"/>
    <w:rsid w:val="7D2406D4"/>
    <w:rsid w:val="7D5A65F3"/>
    <w:rsid w:val="7E902986"/>
    <w:rsid w:val="7F486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标题 2 字符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0">
    <w:name w:val="页脚 字符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字符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character" w:customStyle="1" w:styleId="13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4">
    <w:name w:val="font4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5">
    <w:name w:val="font3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6">
    <w:name w:val="font51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7">
    <w:name w:val="font11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hzbank</Company>
  <Pages>2</Pages>
  <Words>391</Words>
  <Characters>733</Characters>
  <Lines>5</Lines>
  <Paragraphs>1</Paragraphs>
  <TotalTime>19</TotalTime>
  <ScaleCrop>false</ScaleCrop>
  <LinksUpToDate>false</LinksUpToDate>
  <CharactersWithSpaces>751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2018-08-22T08:42:00Z</dcterms:created>
  <dc:creator>hccb</dc:creator>
  <cp:lastModifiedBy>hccb</cp:lastModifiedBy>
  <dcterms:modified xsi:type="dcterms:W3CDTF">2023-02-07T08:11:11Z</dcterms:modified>
  <cp:revision>409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