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南银理财珠联璧合鑫逸稳一年58期封闭式公募人民币理财产品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南银理财珠联璧合鑫逸稳一年58期封闭式公募人民币理财产品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Z7003222000029（投资者可依据该编码在中国理财网www.chinawealth.com.cn查询理财产品相关信息）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2022年04月27日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797,786,976.00份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鑫元基金管理有限公司、华夏基金管理有限公司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Y30058</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812,364,676.82</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1.0182</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1.0182</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报告期内，本产品以帮客户实现稳定收益为目标，力求产品净值的稳定增长，产品主要投资于定制债券专户及优质非标债权资产，其中专户严把信用风险、注重分散投资、灵活管理久期，非标债权资产严选标的、锁定收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w:t>
      </w:r>
      <w:bookmarkStart w:id="0" w:name="_GoBack"/>
      <w:bookmarkEnd w:id="0"/>
      <w:r>
        <w:rPr>
          <w:rFonts w:hint="eastAsia" w:ascii="方正仿宋_GBK" w:eastAsia="方正仿宋_GBK"/>
          <w:b/>
          <w:sz w:val="24"/>
          <w:szCs w:val="24"/>
        </w:rPr>
        <w:t>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截至报告期末，本产品份额净值为1.0182元。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2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8"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ZJQTT202202230001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鑫元基金-鑫安利得59号集合资产管理计划</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375,112,141.33</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46.18</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22088555</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22诸暨交通03</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24.62</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22088606</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22武进绿建02</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183,000,000.00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22.53</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ZJQTT202103180021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华夏基金恒益1号集合资产管理计划</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40,360,839.42</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4.97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诸暨市交通基础设施建设有限公司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22诸暨交通03</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118</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江苏武进绿色建筑产业投资有限公司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22武进绿建02</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125</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0120070000000805</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南银理财鑫逸稳一年58期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产品应支付关联方托管费41,034.97元，应支付关联方代销费315,986.50元。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08EF20BB"/>
    <w:rsid w:val="100768F5"/>
    <w:rsid w:val="138B4249"/>
    <w:rsid w:val="19573E8D"/>
    <w:rsid w:val="1D175E0D"/>
    <w:rsid w:val="1F1A3BC0"/>
    <w:rsid w:val="2651710C"/>
    <w:rsid w:val="2C5F4270"/>
    <w:rsid w:val="341F714B"/>
    <w:rsid w:val="57DD4EC8"/>
    <w:rsid w:val="6115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6</Pages>
  <Words>1724</Words>
  <Characters>2083</Characters>
  <Lines>14</Lines>
  <Paragraphs>4</Paragraphs>
  <TotalTime>36</TotalTime>
  <ScaleCrop>false</ScaleCrop>
  <LinksUpToDate>false</LinksUpToDate>
  <CharactersWithSpaces>2112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2023-01-13T11:03:45Z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5AA6B0C7C9F74B4A8F45903BDE509E1C</vt:lpwstr>
  </property>
</Properties>
</file>