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徽银理财净值型理财产品每周净值公告（2023年01月20日）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2023年01月20日,产品存续份额:88,941,931份，产品当日资产净值:88,578,245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2023年01月20日,产品存续份额:35,130,000份，产品当日资产净值:34,992,092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01月20日,产品存续份额:128,231,459份，产品当日资产净值:127,846,949,在存续期间内,每周公布产品净值信息，如下：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01月20日,产品存续份额:75,629,073份，产品当日资产净值:75,427,327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01月20日,产品存续份额:179,545,991份，产品当日资产净值:178,988,086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01月20日,产品存续份额:99,960,000份，产品当日资产净值:99,725,581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01月20日,产品存续份额:86,010,435份，产品当日资产净值:85,338,710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01月20日,产品存续份额:21,040,000份，产品当日资产净值:20,890,443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01月20日,产品存续份额:30,976,827份，产品当日资产净值:30,586,232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01月20日,产品存续份额:725,112份，产品当日资产净值:716,323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01月20日,产品存续份额:4,770,000份，产品当日资产净值:4,712,648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01月20日,产品存续份额:31,830,806份，产品当日资产净值:31,567,534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01月20日,产品存续份额:12,530,000份，产品当日资产净值:12,433,010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01月20日,产品存续份额:14,825,484份，产品当日资产净值:14,701,287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01月20日,产品存续份额:5,570,000份，产品当日资产净值:5,525,972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01月20日,产品存续份额:38,830,220份，产品当日资产净值:38,997,821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01月20日,产品存续份额:34,078,440份，产品当日资产净值:34,221,261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01月20日,产品存续份额:30,427,788份，产品当日资产净值:30,516,673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01月20日,产品存续份额:10,000份，产品当日资产净值:10,026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01月20日,产品存续份额:28,463,842份，产品当日资产净值:28,515,936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01月20日,产品存续份额:233,065,569份，产品当日资产净值:232,695,323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01月20日,产品存续份额:8,056,277份，产品当日资产净值:8,078,466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2023年01月29日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