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margin" w:tblpY="16"/>
        <w:tblW w:w="14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133"/>
        <w:gridCol w:w="3260"/>
        <w:gridCol w:w="1843"/>
        <w:gridCol w:w="1560"/>
        <w:gridCol w:w="1276"/>
        <w:gridCol w:w="1276"/>
        <w:gridCol w:w="2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120" w:type="dxa"/>
            <w:gridSpan w:val="8"/>
            <w:tcBorders>
              <w:top w:val="nil"/>
              <w:left w:val="nil"/>
              <w:bottom w:val="single" w:color="auto" w:sz="4" w:space="0"/>
              <w:right w:val="nil"/>
            </w:tcBorders>
            <w:shd w:val="clear" w:color="auto" w:fill="auto"/>
            <w:noWrap/>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对公业务手续费收费标准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093" w:type="dxa"/>
            <w:gridSpan w:val="2"/>
            <w:tcBorders>
              <w:top w:val="single" w:color="auto" w:sz="4" w:space="0"/>
            </w:tcBorders>
            <w:shd w:val="clear" w:color="000000" w:fill="D8D8D8"/>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服务项目</w:t>
            </w:r>
          </w:p>
        </w:tc>
        <w:tc>
          <w:tcPr>
            <w:tcW w:w="3260" w:type="dxa"/>
            <w:tcBorders>
              <w:top w:val="single" w:color="auto" w:sz="4" w:space="0"/>
            </w:tcBorders>
            <w:shd w:val="clear" w:color="000000" w:fill="D8D8D8"/>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收费标准</w:t>
            </w:r>
          </w:p>
        </w:tc>
        <w:tc>
          <w:tcPr>
            <w:tcW w:w="1843" w:type="dxa"/>
            <w:tcBorders>
              <w:top w:val="single" w:color="auto" w:sz="4" w:space="0"/>
            </w:tcBorders>
            <w:shd w:val="clear" w:color="000000" w:fill="D8D8D8"/>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效用功能</w:t>
            </w:r>
          </w:p>
        </w:tc>
        <w:tc>
          <w:tcPr>
            <w:tcW w:w="1560" w:type="dxa"/>
            <w:tcBorders>
              <w:top w:val="single" w:color="auto" w:sz="4" w:space="0"/>
            </w:tcBorders>
            <w:shd w:val="clear" w:color="000000" w:fill="D8D8D8"/>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优惠措施</w:t>
            </w:r>
          </w:p>
        </w:tc>
        <w:tc>
          <w:tcPr>
            <w:tcW w:w="1276" w:type="dxa"/>
            <w:tcBorders>
              <w:top w:val="single" w:color="auto" w:sz="4" w:space="0"/>
            </w:tcBorders>
            <w:shd w:val="clear" w:color="000000" w:fill="D8D8D8"/>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收费类型</w:t>
            </w:r>
          </w:p>
        </w:tc>
        <w:tc>
          <w:tcPr>
            <w:tcW w:w="1276" w:type="dxa"/>
            <w:tcBorders>
              <w:top w:val="single" w:color="auto" w:sz="4" w:space="0"/>
            </w:tcBorders>
            <w:shd w:val="clear" w:color="000000" w:fill="D8D8D8"/>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适用客户</w:t>
            </w:r>
          </w:p>
        </w:tc>
        <w:tc>
          <w:tcPr>
            <w:tcW w:w="2812" w:type="dxa"/>
            <w:tcBorders>
              <w:top w:val="single" w:color="auto" w:sz="4" w:space="0"/>
            </w:tcBorders>
            <w:shd w:val="clear" w:color="000000" w:fill="D8D8D8"/>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收费依据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093" w:type="dxa"/>
            <w:gridSpan w:val="2"/>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单位存款证明</w:t>
            </w:r>
          </w:p>
        </w:tc>
        <w:tc>
          <w:tcPr>
            <w:tcW w:w="326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手续费100元/张</w:t>
            </w:r>
          </w:p>
        </w:tc>
        <w:tc>
          <w:tcPr>
            <w:tcW w:w="184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为客户开立存款证明</w:t>
            </w:r>
          </w:p>
        </w:tc>
        <w:tc>
          <w:tcPr>
            <w:tcW w:w="156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依客户等级资质可享受减免优惠</w:t>
            </w:r>
          </w:p>
        </w:tc>
        <w:tc>
          <w:tcPr>
            <w:tcW w:w="1276"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市场调节价</w:t>
            </w:r>
          </w:p>
        </w:tc>
        <w:tc>
          <w:tcPr>
            <w:tcW w:w="1276"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对公客户</w:t>
            </w:r>
          </w:p>
        </w:tc>
        <w:tc>
          <w:tcPr>
            <w:tcW w:w="281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营运[2012]031号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trPr>
        <w:tc>
          <w:tcPr>
            <w:tcW w:w="2093" w:type="dxa"/>
            <w:gridSpan w:val="2"/>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B3银行询证函</w:t>
            </w:r>
          </w:p>
        </w:tc>
        <w:tc>
          <w:tcPr>
            <w:tcW w:w="326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手续费</w:t>
            </w:r>
            <w:r>
              <w:rPr>
                <w:rFonts w:ascii="Times New Roman" w:hAnsi="Times New Roman" w:eastAsia="宋体" w:cs="Times New Roman"/>
                <w:kern w:val="0"/>
                <w:sz w:val="18"/>
                <w:szCs w:val="18"/>
              </w:rPr>
              <w:t>200</w:t>
            </w:r>
            <w:r>
              <w:rPr>
                <w:rFonts w:hint="eastAsia" w:ascii="宋体" w:hAnsi="宋体" w:eastAsia="宋体" w:cs="宋体"/>
                <w:kern w:val="0"/>
                <w:sz w:val="18"/>
                <w:szCs w:val="18"/>
              </w:rPr>
              <w:t>元</w:t>
            </w:r>
            <w:r>
              <w:rPr>
                <w:rFonts w:ascii="Times New Roman" w:hAnsi="Times New Roman" w:eastAsia="宋体" w:cs="Times New Roman"/>
                <w:kern w:val="0"/>
                <w:sz w:val="18"/>
                <w:szCs w:val="18"/>
              </w:rPr>
              <w:t>/</w:t>
            </w:r>
            <w:r>
              <w:rPr>
                <w:rFonts w:hint="eastAsia" w:ascii="宋体" w:hAnsi="宋体" w:eastAsia="宋体" w:cs="宋体"/>
                <w:kern w:val="0"/>
                <w:sz w:val="18"/>
                <w:szCs w:val="18"/>
              </w:rPr>
              <w:t>笔</w:t>
            </w:r>
          </w:p>
        </w:tc>
        <w:tc>
          <w:tcPr>
            <w:tcW w:w="184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为会计师、律师、审计师事务所提供账户信息</w:t>
            </w:r>
          </w:p>
        </w:tc>
        <w:tc>
          <w:tcPr>
            <w:tcW w:w="156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依客户等级资质可享受减免优惠</w:t>
            </w:r>
          </w:p>
        </w:tc>
        <w:tc>
          <w:tcPr>
            <w:tcW w:w="1276"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市场调节价</w:t>
            </w:r>
          </w:p>
        </w:tc>
        <w:tc>
          <w:tcPr>
            <w:tcW w:w="1276"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对公客户</w:t>
            </w:r>
          </w:p>
        </w:tc>
        <w:tc>
          <w:tcPr>
            <w:tcW w:w="281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营运[2012]031号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093" w:type="dxa"/>
            <w:gridSpan w:val="2"/>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资信证明(每笔)</w:t>
            </w:r>
          </w:p>
        </w:tc>
        <w:tc>
          <w:tcPr>
            <w:tcW w:w="326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手续费</w:t>
            </w:r>
            <w:r>
              <w:rPr>
                <w:rFonts w:ascii="Times New Roman" w:hAnsi="Times New Roman" w:eastAsia="宋体" w:cs="Times New Roman"/>
                <w:kern w:val="0"/>
                <w:sz w:val="18"/>
                <w:szCs w:val="18"/>
              </w:rPr>
              <w:t>200</w:t>
            </w:r>
            <w:r>
              <w:rPr>
                <w:rFonts w:hint="eastAsia" w:ascii="宋体" w:hAnsi="宋体" w:eastAsia="宋体" w:cs="宋体"/>
                <w:kern w:val="0"/>
                <w:sz w:val="18"/>
                <w:szCs w:val="18"/>
              </w:rPr>
              <w:t>元</w:t>
            </w:r>
            <w:r>
              <w:rPr>
                <w:rFonts w:ascii="Times New Roman" w:hAnsi="Times New Roman" w:eastAsia="宋体" w:cs="Times New Roman"/>
                <w:kern w:val="0"/>
                <w:sz w:val="18"/>
                <w:szCs w:val="18"/>
              </w:rPr>
              <w:t>/</w:t>
            </w:r>
            <w:r>
              <w:rPr>
                <w:rFonts w:hint="eastAsia" w:ascii="宋体" w:hAnsi="宋体" w:eastAsia="宋体" w:cs="宋体"/>
                <w:kern w:val="0"/>
                <w:sz w:val="18"/>
                <w:szCs w:val="18"/>
              </w:rPr>
              <w:t>笔</w:t>
            </w:r>
          </w:p>
        </w:tc>
        <w:tc>
          <w:tcPr>
            <w:tcW w:w="184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为存款人出具资信证明</w:t>
            </w:r>
          </w:p>
        </w:tc>
        <w:tc>
          <w:tcPr>
            <w:tcW w:w="156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依客户等级资质可享受减免优惠</w:t>
            </w:r>
          </w:p>
        </w:tc>
        <w:tc>
          <w:tcPr>
            <w:tcW w:w="1276"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市场调节价</w:t>
            </w:r>
          </w:p>
        </w:tc>
        <w:tc>
          <w:tcPr>
            <w:tcW w:w="1276"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对公客户</w:t>
            </w:r>
          </w:p>
        </w:tc>
        <w:tc>
          <w:tcPr>
            <w:tcW w:w="281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营运[2012]031号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093" w:type="dxa"/>
            <w:gridSpan w:val="2"/>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验资（增资）户管理费</w:t>
            </w:r>
          </w:p>
        </w:tc>
        <w:tc>
          <w:tcPr>
            <w:tcW w:w="326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100元/户</w:t>
            </w:r>
          </w:p>
        </w:tc>
        <w:tc>
          <w:tcPr>
            <w:tcW w:w="184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提供验资账户管理服务</w:t>
            </w:r>
          </w:p>
        </w:tc>
        <w:tc>
          <w:tcPr>
            <w:tcW w:w="156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依客户等级资质可享受减免优惠</w:t>
            </w:r>
          </w:p>
        </w:tc>
        <w:tc>
          <w:tcPr>
            <w:tcW w:w="1276"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市场调节价</w:t>
            </w:r>
          </w:p>
        </w:tc>
        <w:tc>
          <w:tcPr>
            <w:tcW w:w="1276"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对公客户</w:t>
            </w:r>
          </w:p>
        </w:tc>
        <w:tc>
          <w:tcPr>
            <w:tcW w:w="281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厦门银行营运[2012]9号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60" w:type="dxa"/>
            <w:vMerge w:val="restart"/>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开出保函手续费</w:t>
            </w:r>
          </w:p>
        </w:tc>
        <w:tc>
          <w:tcPr>
            <w:tcW w:w="113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非融资性保函（不含分离式投标保函）</w:t>
            </w:r>
          </w:p>
        </w:tc>
        <w:tc>
          <w:tcPr>
            <w:tcW w:w="326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期限在三年（含）以内，最低标准为0.02%/月；期限在三年以上的，最低标准为0.03%/月；最低500元/笔。</w:t>
            </w:r>
          </w:p>
        </w:tc>
        <w:tc>
          <w:tcPr>
            <w:tcW w:w="1843" w:type="dxa"/>
            <w:vMerge w:val="restar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本行应申请人的要求，以出具保函的形式向受益人承诺，当被保证人不履行合同约定的义务或承诺的事项时，由本行按照保函约定履行债务或承担责任的信贷业务。</w:t>
            </w:r>
          </w:p>
        </w:tc>
        <w:tc>
          <w:tcPr>
            <w:tcW w:w="1560" w:type="dxa"/>
            <w:vMerge w:val="restart"/>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根据各分行所辖区域实际情况、风险缓释措施等适当调整。</w:t>
            </w:r>
          </w:p>
        </w:tc>
        <w:tc>
          <w:tcPr>
            <w:tcW w:w="1276" w:type="dxa"/>
            <w:vMerge w:val="restart"/>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市场调节价</w:t>
            </w:r>
          </w:p>
        </w:tc>
        <w:tc>
          <w:tcPr>
            <w:tcW w:w="1276" w:type="dxa"/>
            <w:vMerge w:val="restart"/>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对公客户</w:t>
            </w:r>
          </w:p>
        </w:tc>
        <w:tc>
          <w:tcPr>
            <w:tcW w:w="2812" w:type="dxa"/>
            <w:vMerge w:val="restar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《厦门银行境内保函业务管理办法》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60" w:type="dxa"/>
            <w:vMerge w:val="continue"/>
            <w:shd w:val="clear" w:color="auto" w:fill="auto"/>
            <w:noWrap/>
            <w:vAlign w:val="center"/>
          </w:tcPr>
          <w:p>
            <w:pPr>
              <w:widowControl/>
              <w:jc w:val="center"/>
              <w:rPr>
                <w:rFonts w:ascii="宋体" w:hAnsi="宋体" w:eastAsia="宋体" w:cs="宋体"/>
                <w:kern w:val="0"/>
                <w:sz w:val="18"/>
                <w:szCs w:val="18"/>
              </w:rPr>
            </w:pPr>
          </w:p>
        </w:tc>
        <w:tc>
          <w:tcPr>
            <w:tcW w:w="113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分离式投标保函</w:t>
            </w:r>
          </w:p>
        </w:tc>
        <w:tc>
          <w:tcPr>
            <w:tcW w:w="326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最低标准为0.1%/笔；最低300元/笔。</w:t>
            </w:r>
          </w:p>
        </w:tc>
        <w:tc>
          <w:tcPr>
            <w:tcW w:w="1843" w:type="dxa"/>
            <w:vMerge w:val="continue"/>
            <w:shd w:val="clear" w:color="auto" w:fill="auto"/>
            <w:vAlign w:val="center"/>
          </w:tcPr>
          <w:p>
            <w:pPr>
              <w:widowControl/>
              <w:jc w:val="left"/>
              <w:rPr>
                <w:rFonts w:ascii="宋体" w:hAnsi="宋体" w:eastAsia="宋体" w:cs="宋体"/>
                <w:kern w:val="0"/>
                <w:sz w:val="18"/>
                <w:szCs w:val="18"/>
              </w:rPr>
            </w:pPr>
          </w:p>
        </w:tc>
        <w:tc>
          <w:tcPr>
            <w:tcW w:w="1560" w:type="dxa"/>
            <w:vMerge w:val="continue"/>
            <w:shd w:val="clear" w:color="auto" w:fill="auto"/>
            <w:noWrap/>
            <w:vAlign w:val="center"/>
          </w:tcPr>
          <w:p>
            <w:pPr>
              <w:widowControl/>
              <w:jc w:val="left"/>
              <w:rPr>
                <w:rFonts w:ascii="宋体" w:hAnsi="宋体" w:eastAsia="宋体" w:cs="宋体"/>
                <w:kern w:val="0"/>
                <w:sz w:val="18"/>
                <w:szCs w:val="18"/>
              </w:rPr>
            </w:pPr>
          </w:p>
        </w:tc>
        <w:tc>
          <w:tcPr>
            <w:tcW w:w="1276" w:type="dxa"/>
            <w:vMerge w:val="continue"/>
            <w:shd w:val="clear" w:color="auto" w:fill="auto"/>
            <w:vAlign w:val="center"/>
          </w:tcPr>
          <w:p>
            <w:pPr>
              <w:jc w:val="center"/>
              <w:rPr>
                <w:rFonts w:ascii="宋体" w:hAnsi="宋体" w:eastAsia="宋体" w:cs="宋体"/>
                <w:kern w:val="0"/>
                <w:sz w:val="18"/>
                <w:szCs w:val="18"/>
              </w:rPr>
            </w:pPr>
          </w:p>
        </w:tc>
        <w:tc>
          <w:tcPr>
            <w:tcW w:w="1276" w:type="dxa"/>
            <w:vMerge w:val="continue"/>
            <w:shd w:val="clear" w:color="auto" w:fill="auto"/>
            <w:vAlign w:val="center"/>
          </w:tcPr>
          <w:p>
            <w:pPr>
              <w:jc w:val="center"/>
              <w:rPr>
                <w:rFonts w:ascii="宋体" w:hAnsi="宋体" w:eastAsia="宋体" w:cs="宋体"/>
                <w:kern w:val="0"/>
                <w:sz w:val="18"/>
                <w:szCs w:val="18"/>
              </w:rPr>
            </w:pPr>
          </w:p>
        </w:tc>
        <w:tc>
          <w:tcPr>
            <w:tcW w:w="2812" w:type="dxa"/>
            <w:vMerge w:val="continue"/>
            <w:shd w:val="clear" w:color="auto" w:fill="auto"/>
            <w:vAlign w:val="center"/>
          </w:tcPr>
          <w:p>
            <w:pPr>
              <w:jc w:val="left"/>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60" w:type="dxa"/>
            <w:vMerge w:val="continue"/>
            <w:shd w:val="clear" w:color="auto" w:fill="auto"/>
            <w:noWrap/>
            <w:vAlign w:val="center"/>
          </w:tcPr>
          <w:p>
            <w:pPr>
              <w:widowControl/>
              <w:jc w:val="center"/>
              <w:rPr>
                <w:rFonts w:ascii="宋体" w:hAnsi="宋体" w:eastAsia="宋体" w:cs="宋体"/>
                <w:kern w:val="0"/>
                <w:sz w:val="18"/>
                <w:szCs w:val="18"/>
              </w:rPr>
            </w:pPr>
          </w:p>
        </w:tc>
        <w:tc>
          <w:tcPr>
            <w:tcW w:w="113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融资性保函</w:t>
            </w:r>
          </w:p>
        </w:tc>
        <w:tc>
          <w:tcPr>
            <w:tcW w:w="326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期限在三年（含）以内，最低标准为0.1%/月；期限在三年以上的，最低标准为0.12%/月；最低2000元/笔。</w:t>
            </w:r>
          </w:p>
        </w:tc>
        <w:tc>
          <w:tcPr>
            <w:tcW w:w="1843" w:type="dxa"/>
            <w:vMerge w:val="continue"/>
            <w:shd w:val="clear" w:color="auto" w:fill="auto"/>
            <w:vAlign w:val="center"/>
          </w:tcPr>
          <w:p>
            <w:pPr>
              <w:widowControl/>
              <w:jc w:val="left"/>
              <w:rPr>
                <w:rFonts w:ascii="宋体" w:hAnsi="宋体" w:eastAsia="宋体" w:cs="宋体"/>
                <w:kern w:val="0"/>
                <w:sz w:val="18"/>
                <w:szCs w:val="18"/>
              </w:rPr>
            </w:pPr>
          </w:p>
        </w:tc>
        <w:tc>
          <w:tcPr>
            <w:tcW w:w="1560" w:type="dxa"/>
            <w:vMerge w:val="continue"/>
            <w:shd w:val="clear" w:color="auto" w:fill="auto"/>
            <w:noWrap/>
            <w:vAlign w:val="center"/>
          </w:tcPr>
          <w:p>
            <w:pPr>
              <w:widowControl/>
              <w:jc w:val="left"/>
              <w:rPr>
                <w:rFonts w:ascii="宋体" w:hAnsi="宋体" w:eastAsia="宋体" w:cs="宋体"/>
                <w:kern w:val="0"/>
                <w:sz w:val="18"/>
                <w:szCs w:val="18"/>
              </w:rPr>
            </w:pPr>
          </w:p>
        </w:tc>
        <w:tc>
          <w:tcPr>
            <w:tcW w:w="1276" w:type="dxa"/>
            <w:vMerge w:val="continue"/>
            <w:shd w:val="clear" w:color="auto" w:fill="auto"/>
            <w:vAlign w:val="center"/>
          </w:tcPr>
          <w:p>
            <w:pPr>
              <w:jc w:val="center"/>
              <w:rPr>
                <w:rFonts w:ascii="宋体" w:hAnsi="宋体" w:eastAsia="宋体" w:cs="宋体"/>
                <w:kern w:val="0"/>
                <w:sz w:val="18"/>
                <w:szCs w:val="18"/>
              </w:rPr>
            </w:pPr>
          </w:p>
        </w:tc>
        <w:tc>
          <w:tcPr>
            <w:tcW w:w="1276" w:type="dxa"/>
            <w:vMerge w:val="continue"/>
            <w:shd w:val="clear" w:color="auto" w:fill="auto"/>
            <w:vAlign w:val="center"/>
          </w:tcPr>
          <w:p>
            <w:pPr>
              <w:jc w:val="center"/>
              <w:rPr>
                <w:rFonts w:ascii="宋体" w:hAnsi="宋体" w:eastAsia="宋体" w:cs="宋体"/>
                <w:kern w:val="0"/>
                <w:sz w:val="18"/>
                <w:szCs w:val="18"/>
              </w:rPr>
            </w:pPr>
          </w:p>
        </w:tc>
        <w:tc>
          <w:tcPr>
            <w:tcW w:w="2812" w:type="dxa"/>
            <w:vMerge w:val="continue"/>
            <w:shd w:val="clear" w:color="auto" w:fill="auto"/>
            <w:vAlign w:val="center"/>
          </w:tcPr>
          <w:p>
            <w:pPr>
              <w:jc w:val="left"/>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093" w:type="dxa"/>
            <w:gridSpan w:val="2"/>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修改保函手续费</w:t>
            </w:r>
          </w:p>
        </w:tc>
        <w:tc>
          <w:tcPr>
            <w:tcW w:w="326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300元/笔；修改增额、延长期限等增大保证责任的，按对应保函种类收费标准另行收取开出保函手续费。</w:t>
            </w:r>
          </w:p>
        </w:tc>
        <w:tc>
          <w:tcPr>
            <w:tcW w:w="184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在本行办理保函修改业务。</w:t>
            </w:r>
          </w:p>
        </w:tc>
        <w:tc>
          <w:tcPr>
            <w:tcW w:w="1560" w:type="dxa"/>
            <w:vMerge w:val="continue"/>
            <w:shd w:val="clear" w:color="auto" w:fill="auto"/>
            <w:noWrap/>
            <w:vAlign w:val="center"/>
          </w:tcPr>
          <w:p>
            <w:pPr>
              <w:widowControl/>
              <w:jc w:val="left"/>
              <w:rPr>
                <w:rFonts w:ascii="宋体" w:hAnsi="宋体" w:eastAsia="宋体" w:cs="宋体"/>
                <w:kern w:val="0"/>
                <w:sz w:val="18"/>
                <w:szCs w:val="18"/>
              </w:rPr>
            </w:pPr>
          </w:p>
        </w:tc>
        <w:tc>
          <w:tcPr>
            <w:tcW w:w="1276" w:type="dxa"/>
            <w:vMerge w:val="continue"/>
            <w:shd w:val="clear" w:color="auto" w:fill="auto"/>
            <w:vAlign w:val="center"/>
          </w:tcPr>
          <w:p>
            <w:pPr>
              <w:widowControl/>
              <w:jc w:val="center"/>
              <w:rPr>
                <w:rFonts w:ascii="宋体" w:hAnsi="宋体" w:eastAsia="宋体" w:cs="宋体"/>
                <w:kern w:val="0"/>
                <w:sz w:val="18"/>
                <w:szCs w:val="18"/>
              </w:rPr>
            </w:pPr>
          </w:p>
        </w:tc>
        <w:tc>
          <w:tcPr>
            <w:tcW w:w="1276" w:type="dxa"/>
            <w:vMerge w:val="continue"/>
            <w:shd w:val="clear" w:color="auto" w:fill="auto"/>
            <w:vAlign w:val="center"/>
          </w:tcPr>
          <w:p>
            <w:pPr>
              <w:widowControl/>
              <w:jc w:val="center"/>
              <w:rPr>
                <w:rFonts w:ascii="宋体" w:hAnsi="宋体" w:eastAsia="宋体" w:cs="宋体"/>
                <w:kern w:val="0"/>
                <w:sz w:val="18"/>
                <w:szCs w:val="18"/>
              </w:rPr>
            </w:pPr>
          </w:p>
        </w:tc>
        <w:tc>
          <w:tcPr>
            <w:tcW w:w="2812" w:type="dxa"/>
            <w:vMerge w:val="continue"/>
            <w:shd w:val="clear" w:color="auto" w:fill="auto"/>
            <w:vAlign w:val="center"/>
          </w:tcPr>
          <w:p>
            <w:pPr>
              <w:widowControl/>
              <w:jc w:val="left"/>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093" w:type="dxa"/>
            <w:gridSpan w:val="2"/>
            <w:shd w:val="clear" w:color="auto" w:fill="auto"/>
            <w:noWrap/>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银行承兑汇票敞口管理费</w:t>
            </w:r>
          </w:p>
        </w:tc>
        <w:tc>
          <w:tcPr>
            <w:tcW w:w="3260" w:type="dxa"/>
            <w:shd w:val="clear" w:color="auto" w:fill="auto"/>
            <w:vAlign w:val="center"/>
          </w:tcPr>
          <w:p>
            <w:pPr>
              <w:widowControl/>
              <w:numPr>
                <w:ilvl w:val="0"/>
                <w:numId w:val="0"/>
              </w:numPr>
              <w:jc w:val="lef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按敞口金额的0.5%-5%收取</w:t>
            </w:r>
          </w:p>
        </w:tc>
        <w:tc>
          <w:tcPr>
            <w:tcW w:w="1843"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客户在本行办理票据承兑，依票据风险敞口收取。</w:t>
            </w:r>
          </w:p>
        </w:tc>
        <w:tc>
          <w:tcPr>
            <w:tcW w:w="1560" w:type="dxa"/>
            <w:shd w:val="clear" w:color="auto" w:fill="auto"/>
            <w:noWrap/>
            <w:vAlign w:val="center"/>
          </w:tcPr>
          <w:p>
            <w:pPr>
              <w:widowControl/>
              <w:jc w:val="left"/>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rPr>
              <w:t>　</w:t>
            </w:r>
            <w:r>
              <w:rPr>
                <w:rFonts w:hint="eastAsia" w:ascii="宋体" w:hAnsi="宋体" w:eastAsia="宋体" w:cs="宋体"/>
                <w:kern w:val="0"/>
                <w:sz w:val="18"/>
                <w:szCs w:val="18"/>
                <w:highlight w:val="none"/>
                <w:lang w:val="en-US" w:eastAsia="zh-CN"/>
              </w:rPr>
              <w:t>优惠政策</w:t>
            </w:r>
            <w:r>
              <w:rPr>
                <w:rFonts w:hint="eastAsia" w:ascii="宋体" w:hAnsi="宋体" w:eastAsia="宋体" w:cs="宋体"/>
                <w:kern w:val="0"/>
                <w:sz w:val="18"/>
                <w:szCs w:val="18"/>
                <w:highlight w:val="none"/>
                <w:lang w:val="en-US"/>
              </w:rPr>
              <w:t>：</w:t>
            </w:r>
          </w:p>
          <w:p>
            <w:pPr>
              <w:widowControl/>
              <w:numPr>
                <w:ilvl w:val="0"/>
                <w:numId w:val="1"/>
              </w:numPr>
              <w:jc w:val="left"/>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rPr>
              <w:t>小微企业免收。小型微型企业划分按《关于印发中小企业划型标准规定的通知》（工信部联企业[2011]300号）规定执行</w:t>
            </w:r>
          </w:p>
          <w:p>
            <w:pPr>
              <w:widowControl/>
              <w:numPr>
                <w:ilvl w:val="0"/>
                <w:numId w:val="1"/>
              </w:numPr>
              <w:jc w:val="left"/>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rPr>
              <w:t>优惠政策如有调整将另行通知。</w:t>
            </w:r>
          </w:p>
        </w:tc>
        <w:tc>
          <w:tcPr>
            <w:tcW w:w="1276"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市场调节价</w:t>
            </w:r>
          </w:p>
        </w:tc>
        <w:tc>
          <w:tcPr>
            <w:tcW w:w="1276"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对公客户</w:t>
            </w:r>
          </w:p>
        </w:tc>
        <w:tc>
          <w:tcPr>
            <w:tcW w:w="2812"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《厦门银行银行承兑汇票业务管理办法》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093" w:type="dxa"/>
            <w:gridSpan w:val="2"/>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对公保险信息转介</w:t>
            </w:r>
          </w:p>
        </w:tc>
        <w:tc>
          <w:tcPr>
            <w:tcW w:w="3260" w:type="dxa"/>
            <w:shd w:val="clear" w:color="auto" w:fill="auto"/>
            <w:vAlign w:val="center"/>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rPr>
              <w:t>协议定价</w:t>
            </w:r>
          </w:p>
        </w:tc>
        <w:tc>
          <w:tcPr>
            <w:tcW w:w="1843" w:type="dxa"/>
            <w:shd w:val="clear" w:color="auto" w:fill="auto"/>
            <w:vAlign w:val="center"/>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本行向有对公投保意向的客户进行信息传递，并向保险公司按照协议约定收取一定比例的佣金。</w:t>
            </w:r>
          </w:p>
        </w:tc>
        <w:tc>
          <w:tcPr>
            <w:tcW w:w="1560" w:type="dxa"/>
            <w:shd w:val="clear" w:color="auto" w:fill="auto"/>
            <w:vAlign w:val="center"/>
          </w:tcPr>
          <w:p>
            <w:pPr>
              <w:widowControl/>
              <w:jc w:val="left"/>
              <w:rPr>
                <w:rFonts w:hint="eastAsia" w:ascii="宋体" w:hAnsi="宋体" w:eastAsia="宋体" w:cs="宋体"/>
                <w:kern w:val="0"/>
                <w:sz w:val="18"/>
                <w:szCs w:val="18"/>
              </w:rPr>
            </w:pPr>
          </w:p>
        </w:tc>
        <w:tc>
          <w:tcPr>
            <w:tcW w:w="1276" w:type="dxa"/>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市场调节价</w:t>
            </w:r>
          </w:p>
        </w:tc>
        <w:tc>
          <w:tcPr>
            <w:tcW w:w="1276" w:type="dxa"/>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对公客户</w:t>
            </w:r>
          </w:p>
        </w:tc>
        <w:tc>
          <w:tcPr>
            <w:tcW w:w="2812" w:type="dxa"/>
            <w:shd w:val="clear" w:color="auto" w:fill="auto"/>
            <w:vAlign w:val="center"/>
          </w:tcPr>
          <w:p>
            <w:pPr>
              <w:widowControl/>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《厦门银行股份有限公司对公保险信息转介业务管理办法》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093" w:type="dxa"/>
            <w:gridSpan w:val="2"/>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自营福费廷</w:t>
            </w:r>
          </w:p>
        </w:tc>
        <w:tc>
          <w:tcPr>
            <w:tcW w:w="3260" w:type="dxa"/>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协议定价</w:t>
            </w:r>
          </w:p>
        </w:tc>
        <w:tc>
          <w:tcPr>
            <w:tcW w:w="1843" w:type="dxa"/>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客户在本行办理</w:t>
            </w:r>
            <w:r>
              <w:rPr>
                <w:rFonts w:hint="eastAsia" w:ascii="宋体" w:hAnsi="宋体" w:eastAsia="宋体" w:cs="宋体"/>
                <w:kern w:val="0"/>
                <w:sz w:val="18"/>
                <w:szCs w:val="18"/>
                <w:lang w:eastAsia="zh-CN"/>
              </w:rPr>
              <w:t>自营福费廷</w:t>
            </w:r>
            <w:r>
              <w:rPr>
                <w:rFonts w:hint="eastAsia" w:ascii="宋体" w:hAnsi="宋体" w:eastAsia="宋体" w:cs="宋体"/>
                <w:kern w:val="0"/>
                <w:sz w:val="18"/>
                <w:szCs w:val="18"/>
              </w:rPr>
              <w:t>业务</w:t>
            </w:r>
            <w:r>
              <w:rPr>
                <w:rFonts w:hint="eastAsia" w:ascii="宋体" w:hAnsi="宋体" w:eastAsia="宋体" w:cs="宋体"/>
                <w:kern w:val="0"/>
                <w:sz w:val="18"/>
                <w:szCs w:val="18"/>
                <w:lang w:eastAsia="zh-CN"/>
              </w:rPr>
              <w:t>。</w:t>
            </w:r>
          </w:p>
        </w:tc>
        <w:tc>
          <w:tcPr>
            <w:tcW w:w="1560" w:type="dxa"/>
            <w:shd w:val="clear" w:color="auto" w:fill="auto"/>
            <w:vAlign w:val="center"/>
          </w:tcPr>
          <w:p>
            <w:pPr>
              <w:widowControl/>
              <w:jc w:val="left"/>
              <w:rPr>
                <w:rFonts w:hint="eastAsia" w:ascii="宋体" w:hAnsi="宋体" w:eastAsia="宋体" w:cs="宋体"/>
                <w:kern w:val="0"/>
                <w:sz w:val="18"/>
                <w:szCs w:val="18"/>
              </w:rPr>
            </w:pPr>
          </w:p>
        </w:tc>
        <w:tc>
          <w:tcPr>
            <w:tcW w:w="1276" w:type="dxa"/>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市场调节价</w:t>
            </w:r>
          </w:p>
        </w:tc>
        <w:tc>
          <w:tcPr>
            <w:tcW w:w="1276" w:type="dxa"/>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对公客户</w:t>
            </w:r>
          </w:p>
        </w:tc>
        <w:tc>
          <w:tcPr>
            <w:tcW w:w="2812" w:type="dxa"/>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与客户签订的国内信用证福费廷业务申请书</w:t>
            </w:r>
            <w:r>
              <w:rPr>
                <w:rFonts w:hint="eastAsia" w:ascii="宋体" w:hAnsi="宋体" w:eastAsia="宋体" w:cs="宋体"/>
                <w:kern w:val="0"/>
                <w:sz w:val="18"/>
                <w:szCs w:val="18"/>
                <w:lang w:eastAsia="zh-CN"/>
              </w:rPr>
              <w:t>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093" w:type="dxa"/>
            <w:gridSpan w:val="2"/>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对公理财</w:t>
            </w:r>
          </w:p>
        </w:tc>
        <w:tc>
          <w:tcPr>
            <w:tcW w:w="3260"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理财产品向投资者收取的相关费用包括理财产品管理费、投资顾问费、信托报酬费、理财产品托管费等。产品到期时，如果理财产品投资收益率扣除相关费用后超过产品预期最高年化收益率的，则超过部分的收益将作为产品的理财产品管理费与投资顾问费，在理财产品到期清算时收取。否则，针对产品厦门银行不收取理财产品管理费与投资顾问费。信托报酬费、理财产品托管费，由信托计划受托人及托管银行在理财产品到期清算时或提前终止时收取。具体收费标准依据与客户签订的理财产品协议书、产品说明书执行。</w:t>
            </w:r>
          </w:p>
        </w:tc>
        <w:tc>
          <w:tcPr>
            <w:tcW w:w="184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客户在本行办理对公理财业务</w:t>
            </w:r>
          </w:p>
        </w:tc>
        <w:tc>
          <w:tcPr>
            <w:tcW w:w="156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市场调节价</w:t>
            </w:r>
          </w:p>
        </w:tc>
        <w:tc>
          <w:tcPr>
            <w:tcW w:w="1276"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对公客户</w:t>
            </w:r>
          </w:p>
        </w:tc>
        <w:tc>
          <w:tcPr>
            <w:tcW w:w="281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与客户签订的理财产品协议书及理财产品说明书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093" w:type="dxa"/>
            <w:gridSpan w:val="2"/>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委托贷款手续费</w:t>
            </w:r>
          </w:p>
        </w:tc>
        <w:tc>
          <w:tcPr>
            <w:tcW w:w="326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不低于0.3‰/月，单笔不低于800元/笔，具体依与客户签订的协议执行</w:t>
            </w:r>
          </w:p>
        </w:tc>
        <w:tc>
          <w:tcPr>
            <w:tcW w:w="184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为客户发放委托贷款</w:t>
            </w:r>
          </w:p>
        </w:tc>
        <w:tc>
          <w:tcPr>
            <w:tcW w:w="156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市场调节价</w:t>
            </w:r>
          </w:p>
        </w:tc>
        <w:tc>
          <w:tcPr>
            <w:tcW w:w="1276"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对公客户</w:t>
            </w:r>
          </w:p>
        </w:tc>
        <w:tc>
          <w:tcPr>
            <w:tcW w:w="281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《厦门银行委托贷款操作规程》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093" w:type="dxa"/>
            <w:gridSpan w:val="2"/>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贷款承诺函手续费</w:t>
            </w:r>
          </w:p>
        </w:tc>
        <w:tc>
          <w:tcPr>
            <w:tcW w:w="326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承诺金额的1‰-3‰，具体依与客户签订的协议执行</w:t>
            </w:r>
          </w:p>
        </w:tc>
        <w:tc>
          <w:tcPr>
            <w:tcW w:w="184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本行为客户出具贷款承诺函服务。</w:t>
            </w:r>
          </w:p>
        </w:tc>
        <w:tc>
          <w:tcPr>
            <w:tcW w:w="1560" w:type="dxa"/>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市场调节价</w:t>
            </w:r>
          </w:p>
        </w:tc>
        <w:tc>
          <w:tcPr>
            <w:tcW w:w="1276"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对公客户</w:t>
            </w:r>
          </w:p>
        </w:tc>
        <w:tc>
          <w:tcPr>
            <w:tcW w:w="281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《厦门市商业银行股份有限公司承诺类、意向类金融产品管理办法》（厦商银公[2008]22号）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93" w:type="dxa"/>
            <w:gridSpan w:val="2"/>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银行信贷证明手续费</w:t>
            </w:r>
          </w:p>
        </w:tc>
        <w:tc>
          <w:tcPr>
            <w:tcW w:w="326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承诺金额的0.1‰-5‰，具体依与客户签订的协议执行</w:t>
            </w:r>
          </w:p>
        </w:tc>
        <w:tc>
          <w:tcPr>
            <w:tcW w:w="184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本行为客户出具银行信贷证明服务。</w:t>
            </w:r>
          </w:p>
        </w:tc>
        <w:tc>
          <w:tcPr>
            <w:tcW w:w="1560" w:type="dxa"/>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市场调节价</w:t>
            </w:r>
          </w:p>
        </w:tc>
        <w:tc>
          <w:tcPr>
            <w:tcW w:w="1276"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对公客户</w:t>
            </w:r>
          </w:p>
        </w:tc>
        <w:tc>
          <w:tcPr>
            <w:tcW w:w="281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《厦门市商业银行股份有限公司承诺类、意向类金融产品管理办法》（厦商银公[2008]22号）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0" w:hRule="atLeast"/>
        </w:trPr>
        <w:tc>
          <w:tcPr>
            <w:tcW w:w="2093" w:type="dxa"/>
            <w:gridSpan w:val="2"/>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有条件贷款承诺函手续费</w:t>
            </w:r>
          </w:p>
        </w:tc>
        <w:tc>
          <w:tcPr>
            <w:tcW w:w="326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手续费标准为 1000 元/份</w:t>
            </w:r>
          </w:p>
        </w:tc>
        <w:tc>
          <w:tcPr>
            <w:tcW w:w="184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本行为客户出具有条件贷款承诺函服务。</w:t>
            </w:r>
          </w:p>
        </w:tc>
        <w:tc>
          <w:tcPr>
            <w:tcW w:w="1560" w:type="dxa"/>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市场调节价</w:t>
            </w:r>
          </w:p>
        </w:tc>
        <w:tc>
          <w:tcPr>
            <w:tcW w:w="1276"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对公客户</w:t>
            </w:r>
          </w:p>
        </w:tc>
        <w:tc>
          <w:tcPr>
            <w:tcW w:w="281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《厦门市商业银行股份有限公司承诺类、意向类金融产品管理办法》（厦商银公[2008]22号）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093" w:type="dxa"/>
            <w:gridSpan w:val="2"/>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贷款意向函手续费</w:t>
            </w:r>
          </w:p>
        </w:tc>
        <w:tc>
          <w:tcPr>
            <w:tcW w:w="326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手续费标准为 1000元/份</w:t>
            </w:r>
          </w:p>
        </w:tc>
        <w:tc>
          <w:tcPr>
            <w:tcW w:w="184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本行为客户出具贷款意向函服务。</w:t>
            </w:r>
          </w:p>
        </w:tc>
        <w:tc>
          <w:tcPr>
            <w:tcW w:w="1560" w:type="dxa"/>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市场调节价</w:t>
            </w:r>
          </w:p>
        </w:tc>
        <w:tc>
          <w:tcPr>
            <w:tcW w:w="1276"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对公客户</w:t>
            </w:r>
          </w:p>
        </w:tc>
        <w:tc>
          <w:tcPr>
            <w:tcW w:w="281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《厦门市商业银行股份有限公司承诺类、意向类金融产品管理办法》（厦商银公[2008]22号）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093" w:type="dxa"/>
            <w:gridSpan w:val="2"/>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保理业务手续费</w:t>
            </w:r>
          </w:p>
        </w:tc>
        <w:tc>
          <w:tcPr>
            <w:tcW w:w="326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发票或付款通知金额的1%-1.5%（年化），具体依与客户签订的协议执行</w:t>
            </w:r>
          </w:p>
        </w:tc>
        <w:tc>
          <w:tcPr>
            <w:tcW w:w="184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本行为客户提供应收账款保理服务与应收账款质押融资服务。</w:t>
            </w:r>
          </w:p>
        </w:tc>
        <w:tc>
          <w:tcPr>
            <w:tcW w:w="1560" w:type="dxa"/>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市场调节价</w:t>
            </w:r>
          </w:p>
        </w:tc>
        <w:tc>
          <w:tcPr>
            <w:tcW w:w="1276"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对公客户</w:t>
            </w:r>
          </w:p>
        </w:tc>
        <w:tc>
          <w:tcPr>
            <w:tcW w:w="281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《厦门银行股份有限公司国内保理业务管理办法》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2093" w:type="dxa"/>
            <w:gridSpan w:val="2"/>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代付手续费</w:t>
            </w:r>
          </w:p>
        </w:tc>
        <w:tc>
          <w:tcPr>
            <w:tcW w:w="3260" w:type="dxa"/>
            <w:shd w:val="clear" w:color="auto" w:fill="auto"/>
            <w:vAlign w:val="center"/>
          </w:tcPr>
          <w:p>
            <w:pPr>
              <w:widowControl/>
              <w:jc w:val="left"/>
              <w:rPr>
                <w:rFonts w:ascii="宋体" w:hAnsi="宋体" w:eastAsia="宋体" w:cs="宋体"/>
                <w:kern w:val="0"/>
                <w:sz w:val="18"/>
                <w:szCs w:val="18"/>
              </w:rPr>
            </w:pPr>
            <w:bookmarkStart w:id="0" w:name="OLE_LINK1"/>
            <w:r>
              <w:rPr>
                <w:rFonts w:hint="eastAsia" w:ascii="宋体" w:hAnsi="宋体" w:eastAsia="宋体" w:cs="宋体"/>
                <w:kern w:val="0"/>
                <w:sz w:val="18"/>
                <w:szCs w:val="18"/>
              </w:rPr>
              <w:t>协议定价</w:t>
            </w:r>
            <w:bookmarkEnd w:id="0"/>
            <w:r>
              <w:rPr>
                <w:rFonts w:hint="eastAsia" w:ascii="宋体" w:hAnsi="宋体" w:eastAsia="宋体" w:cs="宋体"/>
                <w:kern w:val="0"/>
                <w:sz w:val="18"/>
                <w:szCs w:val="18"/>
              </w:rPr>
              <w:t>或按代付行收费标准执行</w:t>
            </w:r>
          </w:p>
        </w:tc>
        <w:tc>
          <w:tcPr>
            <w:tcW w:w="184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本行为客户提供进口代付或出口代付服务。</w:t>
            </w:r>
          </w:p>
        </w:tc>
        <w:tc>
          <w:tcPr>
            <w:tcW w:w="1560" w:type="dxa"/>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76"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市场调节价</w:t>
            </w:r>
          </w:p>
        </w:tc>
        <w:tc>
          <w:tcPr>
            <w:tcW w:w="1276"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对公客户</w:t>
            </w:r>
          </w:p>
        </w:tc>
        <w:tc>
          <w:tcPr>
            <w:tcW w:w="281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《厦门银行股份有限公司出口代付业务管理办法及操作规程》、《厦门银行股份有限公司进口代付业务管理办法及操作规程》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093"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期权费</w:t>
            </w:r>
          </w:p>
        </w:tc>
        <w:tc>
          <w:tcPr>
            <w:tcW w:w="3260" w:type="dxa"/>
            <w:shd w:val="clear" w:color="auto" w:fill="auto"/>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协议定价</w:t>
            </w:r>
          </w:p>
        </w:tc>
        <w:tc>
          <w:tcPr>
            <w:tcW w:w="1843" w:type="dxa"/>
            <w:shd w:val="clear" w:color="auto" w:fill="auto"/>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本行为客户提供期权投资服务</w:t>
            </w:r>
          </w:p>
        </w:tc>
        <w:tc>
          <w:tcPr>
            <w:tcW w:w="1560" w:type="dxa"/>
            <w:shd w:val="clear" w:color="auto" w:fill="auto"/>
            <w:noWrap/>
            <w:vAlign w:val="center"/>
          </w:tcPr>
          <w:p>
            <w:pPr>
              <w:jc w:val="center"/>
              <w:rPr>
                <w:rFonts w:ascii="宋体" w:hAnsi="宋体" w:eastAsia="宋体" w:cs="宋体"/>
                <w:kern w:val="0"/>
                <w:sz w:val="18"/>
                <w:szCs w:val="18"/>
              </w:rPr>
            </w:pPr>
          </w:p>
        </w:tc>
        <w:tc>
          <w:tcPr>
            <w:tcW w:w="1276" w:type="dxa"/>
            <w:shd w:val="clear" w:color="auto" w:fill="auto"/>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市场调节价</w:t>
            </w:r>
          </w:p>
        </w:tc>
        <w:tc>
          <w:tcPr>
            <w:tcW w:w="1276" w:type="dxa"/>
            <w:shd w:val="clear" w:color="auto" w:fill="auto"/>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个人或对公客户</w:t>
            </w:r>
          </w:p>
        </w:tc>
        <w:tc>
          <w:tcPr>
            <w:tcW w:w="2812" w:type="dxa"/>
            <w:shd w:val="clear" w:color="auto" w:fill="auto"/>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kern w:val="0"/>
                <w:sz w:val="18"/>
                <w:szCs w:val="18"/>
                <w:lang w:val="zh-CN"/>
              </w:rPr>
              <w:t>厦门银行股份有限公司代客衍生品业务管理办法</w:t>
            </w: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093" w:type="dxa"/>
            <w:gridSpan w:val="2"/>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企业账户</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批量代付</w:t>
            </w:r>
          </w:p>
        </w:tc>
        <w:tc>
          <w:tcPr>
            <w:tcW w:w="326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lang w:val="zh-CN"/>
              </w:rPr>
              <w:t>按代付金额的0.005%-0.01%</w:t>
            </w:r>
            <w:r>
              <w:rPr>
                <w:rFonts w:hint="eastAsia" w:ascii="宋体" w:hAnsi="宋体" w:eastAsia="宋体" w:cs="宋体"/>
                <w:kern w:val="0"/>
                <w:sz w:val="18"/>
                <w:szCs w:val="18"/>
              </w:rPr>
              <w:t>收取</w:t>
            </w:r>
            <w:r>
              <w:rPr>
                <w:rFonts w:hint="eastAsia" w:ascii="宋体" w:hAnsi="宋体" w:eastAsia="宋体" w:cs="宋体"/>
                <w:kern w:val="0"/>
                <w:sz w:val="18"/>
                <w:szCs w:val="18"/>
                <w:lang w:val="zh-CN"/>
              </w:rPr>
              <w:t>，单笔封顶5元；或每笔1元收取</w:t>
            </w:r>
          </w:p>
        </w:tc>
        <w:tc>
          <w:tcPr>
            <w:tcW w:w="184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lang w:val="zh-CN"/>
              </w:rPr>
              <w:t>为</w:t>
            </w:r>
            <w:r>
              <w:rPr>
                <w:rFonts w:hint="eastAsia" w:ascii="宋体" w:hAnsi="宋体" w:eastAsia="宋体" w:cs="宋体"/>
                <w:kern w:val="0"/>
                <w:sz w:val="18"/>
                <w:szCs w:val="18"/>
              </w:rPr>
              <w:t>客户提供</w:t>
            </w:r>
            <w:r>
              <w:rPr>
                <w:rFonts w:hint="eastAsia" w:ascii="宋体" w:hAnsi="宋体" w:eastAsia="宋体" w:cs="宋体"/>
                <w:kern w:val="0"/>
                <w:sz w:val="18"/>
                <w:szCs w:val="18"/>
                <w:lang w:val="zh-CN"/>
              </w:rPr>
              <w:t>跨行</w:t>
            </w:r>
            <w:r>
              <w:rPr>
                <w:rFonts w:hint="eastAsia" w:ascii="宋体" w:hAnsi="宋体" w:eastAsia="宋体" w:cs="宋体"/>
                <w:kern w:val="0"/>
                <w:sz w:val="18"/>
                <w:szCs w:val="18"/>
              </w:rPr>
              <w:t>批量</w:t>
            </w:r>
            <w:r>
              <w:rPr>
                <w:rFonts w:hint="eastAsia" w:ascii="宋体" w:hAnsi="宋体" w:eastAsia="宋体" w:cs="宋体"/>
                <w:kern w:val="0"/>
                <w:sz w:val="18"/>
                <w:szCs w:val="18"/>
                <w:lang w:val="zh-CN"/>
              </w:rPr>
              <w:t>代付员工工资、费用报销等</w:t>
            </w:r>
          </w:p>
        </w:tc>
        <w:tc>
          <w:tcPr>
            <w:tcW w:w="1560"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依客户等级资质可享受减免优惠</w:t>
            </w:r>
          </w:p>
        </w:tc>
        <w:tc>
          <w:tcPr>
            <w:tcW w:w="1276"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市场调节价</w:t>
            </w:r>
          </w:p>
        </w:tc>
        <w:tc>
          <w:tcPr>
            <w:tcW w:w="1276"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对公客户</w:t>
            </w:r>
          </w:p>
        </w:tc>
        <w:tc>
          <w:tcPr>
            <w:tcW w:w="2812"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lang w:val="zh-CN"/>
              </w:rPr>
              <w:t>具体以协议签订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093" w:type="dxa"/>
            <w:gridSpan w:val="2"/>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B2B网关支付</w:t>
            </w:r>
          </w:p>
        </w:tc>
        <w:tc>
          <w:tcPr>
            <w:tcW w:w="3260" w:type="dxa"/>
            <w:shd w:val="clear" w:color="auto" w:fill="auto"/>
            <w:vAlign w:val="center"/>
          </w:tcPr>
          <w:p>
            <w:pPr>
              <w:widowControl/>
              <w:jc w:val="left"/>
              <w:rPr>
                <w:rFonts w:ascii="宋体" w:hAnsi="宋体" w:eastAsia="宋体" w:cs="宋体"/>
                <w:kern w:val="0"/>
                <w:sz w:val="18"/>
                <w:szCs w:val="18"/>
                <w:lang w:val="zh-CN"/>
              </w:rPr>
            </w:pPr>
            <w:r>
              <w:rPr>
                <w:rFonts w:hint="eastAsia" w:ascii="宋体" w:hAnsi="宋体" w:eastAsia="宋体" w:cs="宋体"/>
                <w:kern w:val="0"/>
                <w:sz w:val="18"/>
                <w:szCs w:val="18"/>
              </w:rPr>
              <w:t>B</w:t>
            </w:r>
            <w:r>
              <w:rPr>
                <w:rFonts w:hint="eastAsia" w:ascii="宋体" w:hAnsi="宋体" w:eastAsia="宋体" w:cs="宋体"/>
                <w:kern w:val="0"/>
                <w:sz w:val="18"/>
                <w:szCs w:val="18"/>
                <w:lang w:val="zh-CN"/>
              </w:rPr>
              <w:t>2B网关支付交易</w:t>
            </w:r>
            <w:r>
              <w:rPr>
                <w:rFonts w:hint="eastAsia" w:ascii="宋体" w:hAnsi="宋体" w:eastAsia="宋体" w:cs="宋体"/>
                <w:kern w:val="0"/>
                <w:sz w:val="18"/>
                <w:szCs w:val="18"/>
              </w:rPr>
              <w:t>结算服务</w:t>
            </w:r>
            <w:r>
              <w:rPr>
                <w:rFonts w:hint="eastAsia" w:ascii="宋体" w:hAnsi="宋体" w:eastAsia="宋体" w:cs="宋体"/>
                <w:kern w:val="0"/>
                <w:sz w:val="18"/>
                <w:szCs w:val="18"/>
                <w:lang w:val="zh-CN"/>
              </w:rPr>
              <w:t>费：</w:t>
            </w:r>
            <w:r>
              <w:rPr>
                <w:rFonts w:hint="eastAsia" w:ascii="宋体" w:hAnsi="宋体" w:eastAsia="宋体" w:cs="宋体"/>
                <w:kern w:val="0"/>
                <w:sz w:val="18"/>
                <w:szCs w:val="18"/>
              </w:rPr>
              <w:t>按</w:t>
            </w:r>
            <w:r>
              <w:rPr>
                <w:rFonts w:hint="eastAsia" w:ascii="宋体" w:hAnsi="宋体" w:eastAsia="宋体" w:cs="宋体"/>
                <w:kern w:val="0"/>
                <w:sz w:val="18"/>
                <w:szCs w:val="18"/>
                <w:lang w:val="zh-CN"/>
              </w:rPr>
              <w:t>交易金额</w:t>
            </w:r>
            <w:r>
              <w:rPr>
                <w:rFonts w:hint="eastAsia" w:ascii="宋体" w:hAnsi="宋体" w:eastAsia="宋体" w:cs="宋体"/>
                <w:kern w:val="0"/>
                <w:sz w:val="18"/>
                <w:szCs w:val="18"/>
              </w:rPr>
              <w:t>的0.2%-5%收取，或10元/笔</w:t>
            </w:r>
            <w:r>
              <w:rPr>
                <w:rFonts w:hint="eastAsia" w:ascii="宋体" w:hAnsi="宋体" w:eastAsia="宋体" w:cs="宋体"/>
                <w:kern w:val="0"/>
                <w:sz w:val="18"/>
                <w:szCs w:val="18"/>
                <w:lang w:val="zh-CN"/>
              </w:rPr>
              <w:t xml:space="preserve"> </w:t>
            </w:r>
          </w:p>
        </w:tc>
        <w:tc>
          <w:tcPr>
            <w:tcW w:w="1843"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通过和第三方支付平台合作，为我行对公客户在网上交易平台购买商品或服务提供自助交易结算服务</w:t>
            </w:r>
          </w:p>
        </w:tc>
        <w:tc>
          <w:tcPr>
            <w:tcW w:w="1560" w:type="dxa"/>
            <w:shd w:val="clear" w:color="auto" w:fill="auto"/>
            <w:noWrap/>
            <w:vAlign w:val="center"/>
          </w:tcPr>
          <w:p>
            <w:pPr>
              <w:widowControl/>
              <w:jc w:val="center"/>
              <w:rPr>
                <w:rFonts w:ascii="宋体" w:hAnsi="宋体" w:eastAsia="宋体" w:cs="宋体"/>
                <w:kern w:val="0"/>
                <w:sz w:val="18"/>
                <w:szCs w:val="18"/>
              </w:rPr>
            </w:pPr>
          </w:p>
        </w:tc>
        <w:tc>
          <w:tcPr>
            <w:tcW w:w="1276"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市场调节价</w:t>
            </w:r>
          </w:p>
        </w:tc>
        <w:tc>
          <w:tcPr>
            <w:tcW w:w="1276" w:type="dxa"/>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第三方支付平台</w:t>
            </w:r>
          </w:p>
        </w:tc>
        <w:tc>
          <w:tcPr>
            <w:tcW w:w="2812" w:type="dxa"/>
            <w:shd w:val="clear" w:color="auto" w:fill="auto"/>
            <w:vAlign w:val="center"/>
          </w:tcPr>
          <w:p>
            <w:pPr>
              <w:widowControl/>
              <w:jc w:val="left"/>
              <w:rPr>
                <w:rFonts w:ascii="宋体" w:hAnsi="宋体" w:eastAsia="宋体" w:cs="宋体"/>
                <w:kern w:val="0"/>
                <w:sz w:val="18"/>
                <w:szCs w:val="18"/>
                <w:lang w:val="zh-CN"/>
              </w:rPr>
            </w:pPr>
            <w:r>
              <w:rPr>
                <w:rFonts w:hint="eastAsia" w:ascii="宋体" w:hAnsi="宋体" w:eastAsia="宋体" w:cs="宋体"/>
                <w:kern w:val="0"/>
                <w:sz w:val="18"/>
                <w:szCs w:val="18"/>
                <w:lang w:val="zh-CN"/>
              </w:rPr>
              <w:t>具体以协议签订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093" w:type="dxa"/>
            <w:gridSpan w:val="2"/>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代收业务手续费</w:t>
            </w:r>
          </w:p>
        </w:tc>
        <w:tc>
          <w:tcPr>
            <w:tcW w:w="3260" w:type="dxa"/>
            <w:shd w:val="clear" w:color="auto" w:fill="auto"/>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按</w:t>
            </w:r>
            <w:r>
              <w:rPr>
                <w:rFonts w:hint="eastAsia" w:ascii="宋体" w:hAnsi="宋体" w:eastAsia="宋体" w:cs="宋体"/>
                <w:color w:val="auto"/>
                <w:kern w:val="0"/>
                <w:sz w:val="18"/>
                <w:szCs w:val="18"/>
                <w:lang w:val="zh-CN"/>
              </w:rPr>
              <w:t>每次</w:t>
            </w:r>
            <w:r>
              <w:rPr>
                <w:rFonts w:hint="eastAsia" w:ascii="宋体" w:hAnsi="宋体" w:eastAsia="宋体" w:cs="宋体"/>
                <w:color w:val="auto"/>
                <w:kern w:val="0"/>
                <w:sz w:val="18"/>
                <w:szCs w:val="18"/>
                <w:lang w:val="en-US" w:eastAsia="zh-CN"/>
              </w:rPr>
              <w:t>代收</w:t>
            </w:r>
            <w:r>
              <w:rPr>
                <w:rFonts w:hint="eastAsia" w:ascii="宋体" w:hAnsi="宋体" w:eastAsia="宋体" w:cs="宋体"/>
                <w:color w:val="auto"/>
                <w:kern w:val="0"/>
                <w:sz w:val="18"/>
                <w:szCs w:val="18"/>
                <w:lang w:val="zh-CN"/>
              </w:rPr>
              <w:t>成功的收款人账户数目</w:t>
            </w:r>
            <w:r>
              <w:rPr>
                <w:rFonts w:hint="eastAsia" w:ascii="宋体" w:hAnsi="宋体" w:eastAsia="宋体" w:cs="宋体"/>
                <w:color w:val="auto"/>
                <w:kern w:val="0"/>
                <w:sz w:val="18"/>
                <w:szCs w:val="18"/>
                <w:lang w:val="en-US" w:eastAsia="zh-CN"/>
              </w:rPr>
              <w:t>收取，每户0.5元-3元收取；或按每次</w:t>
            </w:r>
            <w:r>
              <w:rPr>
                <w:rFonts w:hint="eastAsia" w:ascii="宋体" w:hAnsi="宋体" w:eastAsia="宋体" w:cs="宋体"/>
                <w:color w:val="auto"/>
                <w:kern w:val="0"/>
                <w:sz w:val="18"/>
                <w:szCs w:val="18"/>
                <w:lang w:val="zh-CN"/>
              </w:rPr>
              <w:t>执行</w:t>
            </w:r>
            <w:r>
              <w:rPr>
                <w:rFonts w:hint="eastAsia" w:ascii="宋体" w:hAnsi="宋体" w:eastAsia="宋体" w:cs="宋体"/>
                <w:color w:val="auto"/>
                <w:kern w:val="0"/>
                <w:sz w:val="18"/>
                <w:szCs w:val="18"/>
                <w:lang w:val="en-US" w:eastAsia="zh-CN"/>
              </w:rPr>
              <w:t>代收指令收取，按次协议定价</w:t>
            </w:r>
          </w:p>
        </w:tc>
        <w:tc>
          <w:tcPr>
            <w:tcW w:w="1843" w:type="dxa"/>
            <w:shd w:val="clear" w:color="auto" w:fill="auto"/>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本行为</w:t>
            </w:r>
            <w:r>
              <w:rPr>
                <w:rFonts w:hint="eastAsia" w:ascii="宋体" w:hAnsi="宋体" w:eastAsia="宋体" w:cs="宋体"/>
                <w:color w:val="auto"/>
                <w:kern w:val="0"/>
                <w:sz w:val="18"/>
                <w:szCs w:val="18"/>
                <w:lang w:val="en-US" w:eastAsia="zh-CN"/>
              </w:rPr>
              <w:t>委托方</w:t>
            </w:r>
            <w:r>
              <w:rPr>
                <w:rFonts w:hint="eastAsia" w:ascii="宋体" w:hAnsi="宋体" w:eastAsia="宋体" w:cs="宋体"/>
                <w:color w:val="auto"/>
                <w:kern w:val="0"/>
                <w:sz w:val="18"/>
                <w:szCs w:val="18"/>
              </w:rPr>
              <w:t>提供</w:t>
            </w:r>
            <w:r>
              <w:rPr>
                <w:rFonts w:hint="eastAsia" w:ascii="宋体" w:hAnsi="宋体" w:eastAsia="宋体" w:cs="宋体"/>
                <w:color w:val="auto"/>
                <w:kern w:val="0"/>
                <w:sz w:val="18"/>
                <w:szCs w:val="18"/>
                <w:lang w:val="en-US" w:eastAsia="zh-CN"/>
              </w:rPr>
              <w:t>行内代收服务</w:t>
            </w:r>
          </w:p>
        </w:tc>
        <w:tc>
          <w:tcPr>
            <w:tcW w:w="1560" w:type="dxa"/>
            <w:shd w:val="clear" w:color="auto" w:fill="auto"/>
            <w:noWrap/>
            <w:vAlign w:val="bottom"/>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c>
          <w:tcPr>
            <w:tcW w:w="1276" w:type="dxa"/>
            <w:shd w:val="clear" w:color="auto" w:fill="auto"/>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市场调节价</w:t>
            </w:r>
          </w:p>
        </w:tc>
        <w:tc>
          <w:tcPr>
            <w:tcW w:w="1276" w:type="dxa"/>
            <w:shd w:val="clear" w:color="auto" w:fill="auto"/>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个人或对公客户</w:t>
            </w:r>
          </w:p>
        </w:tc>
        <w:tc>
          <w:tcPr>
            <w:tcW w:w="2812" w:type="dxa"/>
            <w:shd w:val="clear" w:color="auto" w:fill="auto"/>
            <w:vAlign w:val="center"/>
          </w:tcPr>
          <w:p>
            <w:pPr>
              <w:widowControl/>
              <w:jc w:val="left"/>
              <w:rPr>
                <w:rFonts w:hint="eastAsia" w:ascii="宋体" w:hAnsi="宋体" w:eastAsia="宋体" w:cs="宋体"/>
                <w:color w:val="auto"/>
                <w:kern w:val="0"/>
                <w:sz w:val="18"/>
                <w:szCs w:val="18"/>
                <w:lang w:val="zh-CN"/>
              </w:rPr>
            </w:pPr>
            <w:r>
              <w:rPr>
                <w:rFonts w:hint="eastAsia" w:ascii="宋体" w:hAnsi="宋体" w:eastAsia="宋体" w:cs="宋体"/>
                <w:color w:val="auto"/>
                <w:kern w:val="0"/>
                <w:sz w:val="18"/>
                <w:szCs w:val="18"/>
                <w:lang w:val="zh-CN"/>
              </w:rPr>
              <w:t>《厦门银行特色平台代发代扣业务管理办法》（2021年11月修订）</w:t>
            </w:r>
          </w:p>
        </w:tc>
      </w:tr>
    </w:tbl>
    <w:p>
      <w:bookmarkStart w:id="1" w:name="_GoBack"/>
      <w:bookmarkEnd w:id="1"/>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EDDD9B"/>
    <w:multiLevelType w:val="singleLevel"/>
    <w:tmpl w:val="ACEDDD9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B28A2"/>
    <w:rsid w:val="000B47C9"/>
    <w:rsid w:val="000E311D"/>
    <w:rsid w:val="000F78C9"/>
    <w:rsid w:val="001001A1"/>
    <w:rsid w:val="001B20B1"/>
    <w:rsid w:val="001F392A"/>
    <w:rsid w:val="00330DDB"/>
    <w:rsid w:val="00354125"/>
    <w:rsid w:val="00363092"/>
    <w:rsid w:val="0039334A"/>
    <w:rsid w:val="00430610"/>
    <w:rsid w:val="004928DC"/>
    <w:rsid w:val="004E5BFE"/>
    <w:rsid w:val="00555930"/>
    <w:rsid w:val="006703CC"/>
    <w:rsid w:val="006935E3"/>
    <w:rsid w:val="006F6FFA"/>
    <w:rsid w:val="00731574"/>
    <w:rsid w:val="00772B2E"/>
    <w:rsid w:val="00784439"/>
    <w:rsid w:val="007C695C"/>
    <w:rsid w:val="00841398"/>
    <w:rsid w:val="00885017"/>
    <w:rsid w:val="00901234"/>
    <w:rsid w:val="009378E1"/>
    <w:rsid w:val="00942751"/>
    <w:rsid w:val="00991159"/>
    <w:rsid w:val="009D28F6"/>
    <w:rsid w:val="00A015EB"/>
    <w:rsid w:val="00A15DF1"/>
    <w:rsid w:val="00A677A3"/>
    <w:rsid w:val="00AD6201"/>
    <w:rsid w:val="00B329EB"/>
    <w:rsid w:val="00C05BC6"/>
    <w:rsid w:val="00CC2E1F"/>
    <w:rsid w:val="00CF2342"/>
    <w:rsid w:val="00D23F3C"/>
    <w:rsid w:val="00D45E5D"/>
    <w:rsid w:val="00D61349"/>
    <w:rsid w:val="00D8630B"/>
    <w:rsid w:val="00EA704D"/>
    <w:rsid w:val="00F446BE"/>
    <w:rsid w:val="00F94F33"/>
    <w:rsid w:val="00FC01FB"/>
    <w:rsid w:val="01E16F53"/>
    <w:rsid w:val="07862B35"/>
    <w:rsid w:val="0C716DD6"/>
    <w:rsid w:val="105C676B"/>
    <w:rsid w:val="12DC0532"/>
    <w:rsid w:val="150A2BB6"/>
    <w:rsid w:val="18926DC5"/>
    <w:rsid w:val="1A6E0388"/>
    <w:rsid w:val="1C023736"/>
    <w:rsid w:val="21321451"/>
    <w:rsid w:val="23712CDC"/>
    <w:rsid w:val="270F0A30"/>
    <w:rsid w:val="2B46227D"/>
    <w:rsid w:val="310019FB"/>
    <w:rsid w:val="333731A3"/>
    <w:rsid w:val="3BD61EF8"/>
    <w:rsid w:val="3E9409BD"/>
    <w:rsid w:val="447B602D"/>
    <w:rsid w:val="482A0B95"/>
    <w:rsid w:val="491D7DA3"/>
    <w:rsid w:val="4B576CED"/>
    <w:rsid w:val="4C25344A"/>
    <w:rsid w:val="4E8C380F"/>
    <w:rsid w:val="5747121A"/>
    <w:rsid w:val="5DF93E60"/>
    <w:rsid w:val="61CF4C5B"/>
    <w:rsid w:val="6B4E745A"/>
    <w:rsid w:val="6FE8191E"/>
    <w:rsid w:val="701129E7"/>
    <w:rsid w:val="7FC74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semiHidden/>
    <w:unhideWhenUsed/>
    <w:qFormat/>
    <w:uiPriority w:val="99"/>
    <w:rPr>
      <w:sz w:val="18"/>
      <w:szCs w:val="18"/>
    </w:r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styleId="9">
    <w:name w:val="FollowedHyperlink"/>
    <w:basedOn w:val="7"/>
    <w:semiHidden/>
    <w:unhideWhenUsed/>
    <w:qFormat/>
    <w:uiPriority w:val="99"/>
    <w:rPr>
      <w:color w:val="000000"/>
      <w:u w:val="none"/>
    </w:rPr>
  </w:style>
  <w:style w:type="character" w:styleId="10">
    <w:name w:val="HTML Definition"/>
    <w:basedOn w:val="7"/>
    <w:semiHidden/>
    <w:unhideWhenUsed/>
    <w:qFormat/>
    <w:uiPriority w:val="99"/>
    <w:rPr>
      <w:i/>
    </w:rPr>
  </w:style>
  <w:style w:type="character" w:styleId="11">
    <w:name w:val="Hyperlink"/>
    <w:basedOn w:val="7"/>
    <w:semiHidden/>
    <w:unhideWhenUsed/>
    <w:qFormat/>
    <w:uiPriority w:val="99"/>
    <w:rPr>
      <w:color w:val="000000"/>
      <w:u w:val="none"/>
    </w:rPr>
  </w:style>
  <w:style w:type="character" w:styleId="12">
    <w:name w:val="HTML Code"/>
    <w:basedOn w:val="7"/>
    <w:semiHidden/>
    <w:unhideWhenUsed/>
    <w:qFormat/>
    <w:uiPriority w:val="99"/>
    <w:rPr>
      <w:rFonts w:hint="default" w:ascii="Consolas" w:hAnsi="Consolas" w:eastAsia="Consolas" w:cs="Consolas"/>
      <w:color w:val="C7254E"/>
      <w:sz w:val="21"/>
      <w:szCs w:val="21"/>
      <w:shd w:val="clear" w:fill="F9F2F4"/>
    </w:rPr>
  </w:style>
  <w:style w:type="character" w:styleId="13">
    <w:name w:val="HTML Keyboard"/>
    <w:basedOn w:val="7"/>
    <w:semiHidden/>
    <w:unhideWhenUsed/>
    <w:qFormat/>
    <w:uiPriority w:val="99"/>
    <w:rPr>
      <w:rFonts w:hint="default" w:ascii="Consolas" w:hAnsi="Consolas" w:eastAsia="Consolas" w:cs="Consolas"/>
      <w:color w:val="FFFFFF"/>
      <w:sz w:val="21"/>
      <w:szCs w:val="21"/>
      <w:shd w:val="clear" w:fill="333333"/>
    </w:rPr>
  </w:style>
  <w:style w:type="character" w:styleId="14">
    <w:name w:val="HTML Sample"/>
    <w:basedOn w:val="7"/>
    <w:semiHidden/>
    <w:unhideWhenUsed/>
    <w:qFormat/>
    <w:uiPriority w:val="99"/>
    <w:rPr>
      <w:rFonts w:ascii="Consolas" w:hAnsi="Consolas" w:eastAsia="Consolas" w:cs="Consolas"/>
      <w:sz w:val="21"/>
      <w:szCs w:val="21"/>
    </w:rPr>
  </w:style>
  <w:style w:type="character" w:customStyle="1" w:styleId="15">
    <w:name w:val="页眉 Char"/>
    <w:basedOn w:val="7"/>
    <w:link w:val="4"/>
    <w:qFormat/>
    <w:uiPriority w:val="99"/>
    <w:rPr>
      <w:sz w:val="18"/>
      <w:szCs w:val="18"/>
    </w:rPr>
  </w:style>
  <w:style w:type="character" w:customStyle="1" w:styleId="16">
    <w:name w:val="页脚 Char"/>
    <w:basedOn w:val="7"/>
    <w:link w:val="3"/>
    <w:qFormat/>
    <w:uiPriority w:val="99"/>
    <w:rPr>
      <w:sz w:val="18"/>
      <w:szCs w:val="18"/>
    </w:rPr>
  </w:style>
  <w:style w:type="character" w:customStyle="1" w:styleId="17">
    <w:name w:val="批注框文本 Char"/>
    <w:basedOn w:val="7"/>
    <w:link w:val="2"/>
    <w:semiHidden/>
    <w:qFormat/>
    <w:uiPriority w:val="99"/>
    <w:rPr>
      <w:kern w:val="2"/>
      <w:sz w:val="18"/>
      <w:szCs w:val="18"/>
    </w:rPr>
  </w:style>
  <w:style w:type="character" w:customStyle="1" w:styleId="18">
    <w:name w:val="zt_red"/>
    <w:basedOn w:val="7"/>
    <w:qFormat/>
    <w:uiPriority w:val="0"/>
    <w:rPr>
      <w:color w:val="E94B56"/>
    </w:rPr>
  </w:style>
  <w:style w:type="character" w:customStyle="1" w:styleId="19">
    <w:name w:val="zt_date"/>
    <w:basedOn w:val="7"/>
    <w:qFormat/>
    <w:uiPriority w:val="0"/>
    <w:rPr>
      <w:color w:val="AEAEAE"/>
    </w:rPr>
  </w:style>
  <w:style w:type="character" w:customStyle="1" w:styleId="20">
    <w:name w:val="hover19"/>
    <w:basedOn w:val="7"/>
    <w:qFormat/>
    <w:uiPriority w:val="0"/>
    <w:rPr>
      <w:shd w:val="clear" w:fill="E8313E"/>
    </w:rPr>
  </w:style>
  <w:style w:type="character" w:customStyle="1" w:styleId="21">
    <w:name w:val="yield_small"/>
    <w:basedOn w:val="7"/>
    <w:qFormat/>
    <w:uiPriority w:val="0"/>
    <w:rPr>
      <w:color w:val="9F9F9F"/>
      <w:sz w:val="21"/>
      <w:szCs w:val="21"/>
    </w:rPr>
  </w:style>
  <w:style w:type="character" w:customStyle="1" w:styleId="22">
    <w:name w:val="main_news"/>
    <w:basedOn w:val="7"/>
    <w:qFormat/>
    <w:uiPriority w:val="0"/>
    <w:rPr>
      <w:color w:val="3B3D3E"/>
    </w:rPr>
  </w:style>
  <w:style w:type="character" w:customStyle="1" w:styleId="23">
    <w:name w:val="main_date"/>
    <w:basedOn w:val="7"/>
    <w:qFormat/>
    <w:uiPriority w:val="0"/>
    <w:rPr>
      <w:color w:val="A9A9A9"/>
    </w:rPr>
  </w:style>
  <w:style w:type="character" w:customStyle="1" w:styleId="24">
    <w:name w:val="focus2"/>
    <w:basedOn w:val="7"/>
    <w:qFormat/>
    <w:uiPriority w:val="0"/>
    <w:rPr>
      <w:shd w:val="clear" w:fill="E8313E"/>
    </w:rPr>
  </w:style>
  <w:style w:type="character" w:customStyle="1" w:styleId="25">
    <w:name w:val="forst"/>
    <w:basedOn w:val="7"/>
    <w:qFormat/>
    <w:uiPriority w:val="0"/>
    <w:rPr>
      <w:color w:val="D6D6D6"/>
    </w:rPr>
  </w:style>
  <w:style w:type="character" w:customStyle="1" w:styleId="26">
    <w:name w:val="lasts"/>
    <w:basedOn w:val="7"/>
    <w:qFormat/>
    <w:uiPriority w:val="0"/>
    <w:rPr>
      <w:color w:val="D6D6D6"/>
    </w:rPr>
  </w:style>
  <w:style w:type="character" w:customStyle="1" w:styleId="27">
    <w:name w:val="f_active"/>
    <w:basedOn w:val="7"/>
    <w:qFormat/>
    <w:uiPriority w:val="0"/>
    <w:rPr>
      <w:color w:val="E8313E"/>
    </w:rPr>
  </w:style>
  <w:style w:type="character" w:customStyle="1" w:styleId="28">
    <w:name w:val="text-light-dark"/>
    <w:basedOn w:val="7"/>
    <w:qFormat/>
    <w:uiPriority w:val="0"/>
    <w:rPr>
      <w:color w:val="909090"/>
      <w:sz w:val="24"/>
      <w:szCs w:val="24"/>
    </w:rPr>
  </w:style>
  <w:style w:type="character" w:customStyle="1" w:styleId="29">
    <w:name w:val="glyphicon2"/>
    <w:basedOn w:val="7"/>
    <w:qFormat/>
    <w:uiPriority w:val="0"/>
  </w:style>
  <w:style w:type="character" w:customStyle="1" w:styleId="30">
    <w:name w:val="text"/>
    <w:basedOn w:val="7"/>
    <w:qFormat/>
    <w:uiPriority w:val="0"/>
    <w:rPr>
      <w:color w:val="999999"/>
    </w:rPr>
  </w:style>
  <w:style w:type="character" w:customStyle="1" w:styleId="31">
    <w:name w:val="value"/>
    <w:basedOn w:val="7"/>
    <w:qFormat/>
    <w:uiPriority w:val="0"/>
    <w:rPr>
      <w:b/>
      <w:color w:val="333333"/>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421</Words>
  <Characters>2402</Characters>
  <Lines>20</Lines>
  <Paragraphs>5</Paragraphs>
  <TotalTime>0</TotalTime>
  <ScaleCrop>false</ScaleCrop>
  <LinksUpToDate>false</LinksUpToDate>
  <CharactersWithSpaces>2818</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2018-05-23T09:54:00Z</dcterms:created>
  <dc:creator>Administrator</dc:creator>
  <cp:lastModifiedBy>厦门银行洪晓林</cp:lastModifiedBy>
  <dcterms:modified xsi:type="dcterms:W3CDTF">2022-03-25T01:41:46Z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EF096A8D1D9A436B8D474D20CF111A18</vt:lpwstr>
  </property>
</Properties>
</file>