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0"/>
        <w:rPr>
          <w:rFonts w:hint="eastAsia" w:ascii="黑体" w:hAnsi="黑体" w:eastAsia="黑体" w:cstheme="minorBidi"/>
          <w:b/>
          <w:kern w:val="2"/>
          <w:sz w:val="36"/>
          <w:szCs w:val="36"/>
          <w:lang w:val="en-US" w:eastAsia="zh-CN" w:bidi="ar-SA"/>
        </w:rPr>
      </w:pPr>
      <w:r>
        <w:rPr>
          <w:rFonts w:hint="eastAsia" w:ascii="黑体" w:hAnsi="黑体" w:eastAsia="黑体" w:cstheme="minorBidi"/>
          <w:b/>
          <w:kern w:val="2"/>
          <w:sz w:val="36"/>
          <w:szCs w:val="36"/>
          <w:lang w:val="en-US" w:eastAsia="zh-CN" w:bidi="ar-SA"/>
        </w:rPr>
        <w:t>个人银行</w:t>
      </w:r>
      <w:bookmarkStart w:id="0" w:name="_GoBack"/>
      <w:bookmarkEnd w:id="0"/>
      <w:r>
        <w:rPr>
          <w:rFonts w:hint="eastAsia" w:ascii="黑体" w:hAnsi="黑体" w:eastAsia="黑体" w:cstheme="minorBidi"/>
          <w:b/>
          <w:kern w:val="2"/>
          <w:sz w:val="36"/>
          <w:szCs w:val="36"/>
          <w:lang w:val="en-US" w:eastAsia="zh-CN" w:bidi="ar-SA"/>
        </w:rPr>
        <w:t>账户开户服务标准</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jc w:val="left"/>
        <w:textAlignment w:val="auto"/>
        <w:outlineLvl w:val="9"/>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尊敬的客户：</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为进一步优化个人银行账户开户服务，提升个人客户体验，现将我行个人银行结算账户开立服务标准、开户证明文件、办理时限、资费标准和服务监督电话公示如下：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一、服务标准</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（一）客户可携带本人有效身份证明文件前往我行任一营业网点办理开立银行账户。</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（二）客户</w:t>
      </w:r>
      <w:r>
        <w:rPr>
          <w:rFonts w:ascii="仿宋_GB2312" w:hAnsi="仿宋_GB2312" w:eastAsia="仿宋_GB2312" w:cs="仿宋_GB2312"/>
          <w:sz w:val="32"/>
          <w:szCs w:val="32"/>
          <w:lang w:bidi="ar-SA"/>
        </w:rPr>
        <w:t>可根据实际需求选择开立合适的银行结算账户类别，并配合提供开户所需资料，</w:t>
      </w:r>
      <w:r>
        <w:rPr>
          <w:rFonts w:hint="eastAsia" w:ascii="仿宋_GB2312" w:hAnsi="仿宋_GB2312" w:eastAsia="仿宋_GB2312" w:cs="仿宋_GB2312"/>
          <w:color w:val="000000"/>
          <w:kern w:val="0"/>
          <w:sz w:val="32"/>
          <w:szCs w:val="32"/>
          <w:lang w:val="en-US" w:eastAsia="zh-CN" w:bidi="ar-SA"/>
        </w:rPr>
        <w:t>告知我行开立和使用账户的目的及用途，承诺依法依规使用本人账户。</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（三）我行根据客户的基本情况及业务意愿，开展尽职调查工作，审核证件资料的真实性及合规性。</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w:t>
      </w:r>
      <w:r>
        <w:rPr>
          <w:rFonts w:hint="default" w:ascii="仿宋_GB2312" w:hAnsi="仿宋_GB2312" w:eastAsia="仿宋_GB2312" w:cs="仿宋_GB2312"/>
          <w:color w:val="000000"/>
          <w:kern w:val="0"/>
          <w:sz w:val="32"/>
          <w:szCs w:val="32"/>
          <w:lang w:val="en-US" w:eastAsia="zh-CN" w:bidi="ar-SA"/>
        </w:rPr>
        <w:t>我行</w:t>
      </w:r>
      <w:r>
        <w:rPr>
          <w:rFonts w:hint="eastAsia" w:ascii="仿宋_GB2312" w:hAnsi="仿宋_GB2312" w:eastAsia="仿宋_GB2312" w:cs="仿宋_GB2312"/>
          <w:color w:val="000000"/>
          <w:kern w:val="0"/>
          <w:sz w:val="32"/>
          <w:szCs w:val="32"/>
          <w:lang w:val="en-US" w:eastAsia="zh-CN" w:bidi="ar-SA"/>
        </w:rPr>
        <w:t>结合客户身份核实、资金结算需求和风险等级等情况</w:t>
      </w:r>
      <w:r>
        <w:rPr>
          <w:rFonts w:hint="default"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0"/>
          <w:sz w:val="32"/>
          <w:szCs w:val="32"/>
          <w:lang w:val="en-US" w:eastAsia="zh-CN" w:bidi="ar-SA"/>
        </w:rPr>
        <w:t>为客户</w:t>
      </w:r>
      <w:r>
        <w:rPr>
          <w:rFonts w:hint="default" w:ascii="仿宋_GB2312" w:hAnsi="仿宋_GB2312" w:eastAsia="仿宋_GB2312" w:cs="仿宋_GB2312"/>
          <w:color w:val="000000"/>
          <w:kern w:val="0"/>
          <w:sz w:val="32"/>
          <w:szCs w:val="32"/>
          <w:lang w:val="en-US" w:eastAsia="zh-CN" w:bidi="ar-SA"/>
        </w:rPr>
        <w:t>提供账户分类分级服务，</w:t>
      </w:r>
      <w:r>
        <w:rPr>
          <w:rFonts w:hint="eastAsia" w:ascii="仿宋_GB2312" w:hAnsi="仿宋_GB2312" w:eastAsia="仿宋_GB2312" w:cs="仿宋_GB2312"/>
          <w:color w:val="000000"/>
          <w:kern w:val="0"/>
          <w:sz w:val="32"/>
          <w:szCs w:val="32"/>
          <w:lang w:val="en-US" w:eastAsia="zh-CN" w:bidi="ar-SA"/>
        </w:rPr>
        <w:t>根据开户</w:t>
      </w:r>
      <w:r>
        <w:rPr>
          <w:rFonts w:hint="default" w:ascii="仿宋_GB2312" w:hAnsi="仿宋_GB2312" w:eastAsia="仿宋_GB2312" w:cs="仿宋_GB2312"/>
          <w:color w:val="000000"/>
          <w:kern w:val="0"/>
          <w:sz w:val="32"/>
          <w:szCs w:val="32"/>
          <w:lang w:val="en-US" w:eastAsia="zh-CN" w:bidi="ar-SA"/>
        </w:rPr>
        <w:t>综合评估</w:t>
      </w:r>
      <w:r>
        <w:rPr>
          <w:rFonts w:hint="eastAsia" w:ascii="仿宋_GB2312" w:hAnsi="仿宋_GB2312" w:eastAsia="仿宋_GB2312" w:cs="仿宋_GB2312"/>
          <w:color w:val="000000"/>
          <w:kern w:val="0"/>
          <w:sz w:val="32"/>
          <w:szCs w:val="32"/>
          <w:lang w:val="en-US" w:eastAsia="zh-CN" w:bidi="ar-SA"/>
        </w:rPr>
        <w:t>结果开通</w:t>
      </w:r>
      <w:r>
        <w:rPr>
          <w:rFonts w:hint="default" w:ascii="仿宋_GB2312" w:hAnsi="仿宋_GB2312" w:eastAsia="仿宋_GB2312" w:cs="仿宋_GB2312"/>
          <w:color w:val="000000"/>
          <w:kern w:val="0"/>
          <w:sz w:val="32"/>
          <w:szCs w:val="32"/>
          <w:lang w:val="en-US" w:eastAsia="zh-CN" w:bidi="ar-SA"/>
        </w:rPr>
        <w:t>账户非柜面</w:t>
      </w:r>
      <w:r>
        <w:rPr>
          <w:rFonts w:hint="eastAsia" w:ascii="仿宋_GB2312" w:hAnsi="仿宋_GB2312" w:eastAsia="仿宋_GB2312" w:cs="仿宋_GB2312"/>
          <w:color w:val="000000"/>
          <w:kern w:val="0"/>
          <w:sz w:val="32"/>
          <w:szCs w:val="32"/>
          <w:lang w:val="en-US" w:eastAsia="zh-CN" w:bidi="ar-SA"/>
        </w:rPr>
        <w:t>渠道</w:t>
      </w:r>
      <w:r>
        <w:rPr>
          <w:rFonts w:hint="default" w:ascii="仿宋_GB2312" w:hAnsi="仿宋_GB2312" w:eastAsia="仿宋_GB2312" w:cs="仿宋_GB2312"/>
          <w:color w:val="000000"/>
          <w:kern w:val="0"/>
          <w:sz w:val="32"/>
          <w:szCs w:val="32"/>
          <w:lang w:val="en-US" w:eastAsia="zh-CN" w:bidi="ar-SA"/>
        </w:rPr>
        <w:t>支付业务</w:t>
      </w:r>
      <w:r>
        <w:rPr>
          <w:rFonts w:hint="eastAsia" w:ascii="仿宋_GB2312" w:hAnsi="仿宋_GB2312" w:eastAsia="仿宋_GB2312" w:cs="仿宋_GB2312"/>
          <w:color w:val="000000"/>
          <w:kern w:val="0"/>
          <w:sz w:val="32"/>
          <w:szCs w:val="32"/>
          <w:lang w:val="en-US" w:eastAsia="zh-CN" w:bidi="ar-SA"/>
        </w:rPr>
        <w:t>功能和资金额度</w:t>
      </w:r>
      <w:r>
        <w:rPr>
          <w:rFonts w:hint="default" w:ascii="仿宋_GB2312" w:hAnsi="仿宋_GB2312" w:eastAsia="仿宋_GB2312" w:cs="仿宋_GB2312"/>
          <w:color w:val="000000"/>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二、开户证明文件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（一）客户申请开立个人银行结算账户，应向我行出具下列证明文件原件，并签署税收居民身份声明文件。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1、在中华人民共和国境内已登记常住户口的中国公民为居民身份证或临时居民身份证；不满十六周岁的，可以使用居民身份证或户口簿。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2.香港、澳门特别行政区居民为港澳居民往来内地通行证或港澳居民居住证。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3.台湾地区居民为台湾居民来往大陆通行证或台湾居民居住证。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4.定居国外的中国公民为中国护照及境外永久居留权证。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5.外国公民为护照或者外国人永久居留证（外国边民，按照边贸结算的有关规定办理）。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6.法律、行政法规规定的其他身份证明文件。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委托他人代理开立个人银行结算账户，需出具代理人和被代理人的有效身份证件原件以及合法的授权委托书等。不满十六周岁的开户申请人，由法定监护人携双方有效身份证件原件及可体现监护关系的证明材料（如户口簿、出生证明等）办理。</w:t>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办理时限</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开户资料真实、完整、有效且符合开户条件的，我行可当场开户完成，账户即开即用。</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四、资费标准</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厦门地区新开户收取10元/笔借记卡工本费，薪资代发客户、创富、财富、私行客户免收。其他地区新开户免收工本费。</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其他服务收费标准参考我行对外公示的收费标准，服务价格发生变化时以我行最新公示的收费标准为准。</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四、服务监督电话</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outlineLvl w:val="9"/>
        <w:rPr>
          <w:rFonts w:hint="default"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厦门银行股份有限公司账务服务热线：400-858-8888（大陆客服热线）、0080-186-3155（台湾客服热线）</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人民银行账户服务监督电话：12363</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人民银行福州中心支行投诉受理专线：</w:t>
      </w:r>
      <w:r>
        <w:rPr>
          <w:rFonts w:hint="eastAsia" w:ascii="仿宋_GB2312" w:hAnsi="仿宋_GB2312" w:eastAsia="仿宋_GB2312" w:cs="仿宋_GB2312"/>
          <w:b/>
          <w:bCs/>
          <w:color w:val="000000"/>
          <w:kern w:val="0"/>
          <w:sz w:val="32"/>
          <w:szCs w:val="32"/>
          <w:lang w:val="en-US" w:eastAsia="en-US" w:bidi="ar-SA"/>
        </w:rPr>
        <w:t>0591-8801056</w:t>
      </w:r>
      <w:r>
        <w:rPr>
          <w:rFonts w:hint="eastAsia" w:ascii="仿宋_GB2312" w:hAnsi="仿宋_GB2312" w:eastAsia="仿宋_GB2312" w:cs="仿宋_GB2312"/>
          <w:b/>
          <w:bCs/>
          <w:color w:val="000000"/>
          <w:kern w:val="0"/>
          <w:sz w:val="32"/>
          <w:szCs w:val="32"/>
          <w:lang w:val="en-US" w:eastAsia="zh-CN" w:bidi="ar-SA"/>
        </w:rPr>
        <w:t>8</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560" w:firstLineChars="200"/>
        <w:jc w:val="both"/>
        <w:textAlignment w:val="auto"/>
        <w:rPr>
          <w:rStyle w:val="10"/>
          <w:rFonts w:hint="eastAsia" w:ascii="仿宋" w:hAnsi="仿宋" w:eastAsia="仿宋" w:cs="仿宋"/>
          <w:b w:val="0"/>
          <w:bCs/>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3" w:firstLineChars="200"/>
        <w:jc w:val="right"/>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厦门银行股份有限公司</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3" w:firstLineChars="200"/>
        <w:jc w:val="right"/>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二〇二二年一月十二日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ngLiU">
    <w:panose1 w:val="02020509000000000000"/>
    <w:charset w:val="86"/>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hint="eastAsia"/>
        <w:sz w:val="24"/>
      </w:rPr>
    </w:pPr>
    <w:r>
      <w:rPr>
        <w:rFonts w:hint="default"/>
        <w:sz w:val="24"/>
      </w:rPr>
      <mc:AlternateContent>
        <mc:Choice Requires="wps">
          <w:drawing>
            <wp:anchor distT="0" distB="0" distL="114300" distR="114300" simplePos="0" relativeHeight="251659264" behindDoc="1" locked="0" layoutInCell="1" allowOverlap="1">
              <wp:simplePos x="0" y="0"/>
              <wp:positionH relativeFrom="page">
                <wp:posOffset>6164580</wp:posOffset>
              </wp:positionH>
              <wp:positionV relativeFrom="page">
                <wp:posOffset>10147300</wp:posOffset>
              </wp:positionV>
              <wp:extent cx="158750" cy="1187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8750" cy="118745"/>
                      </a:xfrm>
                      <a:prstGeom prst="rect">
                        <a:avLst/>
                      </a:prstGeom>
                      <a:noFill/>
                      <a:ln>
                        <a:noFill/>
                      </a:ln>
                    </wps:spPr>
                    <wps:txbx>
                      <w:txbxContent>
                        <w:p>
                          <w:pPr>
                            <w:pStyle w:val="15"/>
                            <w:rPr>
                              <w:rFonts w:hint="eastAsia"/>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rStyle w:val="16"/>
                              <w:rFonts w:hint="eastAsia"/>
                              <w:sz w:val="24"/>
                            </w:rPr>
                            <w:t>#</w:t>
                          </w:r>
                          <w:r>
                            <w:rPr>
                              <w:rStyle w:val="16"/>
                              <w:rFonts w:hint="eastAsia"/>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485.4pt;margin-top:799pt;height:9.35pt;width:12.5pt;mso-position-horizontal-relative:page;mso-position-vertical-relative:page;mso-wrap-style:none;z-index:-251657216;mso-width-relative:page;mso-height-relative:page;" filled="f" stroked="f" coordsize="21600,21600" o:gfxdata="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hArZ1wAAAA0BAAAPAAAAAAAAAAEAIAAAACIAAABkcnMvZG93bnJldi54bWxQSwECFAAUAAAACACH&#10;TuJAxDk9O7MBAABJAwAADgAAAAAAAAABACAAAAAmAQAAZHJzL2Uyb0RvYy54bWxQSwUGAAAAAAYA&#10;BgBZAQAASwUAAAAA&#10;">
              <v:fill on="f" focussize="0,0"/>
              <v:stroke on="f"/>
              <v:imagedata o:title=""/>
              <o:lock v:ext="edit" aspectratio="f"/>
              <v:textbox inset="0mm,0mm,0mm,0mm" style="mso-fit-shape-to-text:t;">
                <w:txbxContent>
                  <w:p>
                    <w:pPr>
                      <w:pStyle w:val="15"/>
                      <w:rPr>
                        <w:rFonts w:hint="eastAsia"/>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rStyle w:val="16"/>
                        <w:rFonts w:hint="eastAsia"/>
                        <w:sz w:val="24"/>
                      </w:rPr>
                      <w:t>#</w:t>
                    </w:r>
                    <w:r>
                      <w:rPr>
                        <w:rStyle w:val="16"/>
                        <w:rFonts w:hint="eastAsia"/>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hint="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F927E"/>
    <w:multiLevelType w:val="singleLevel"/>
    <w:tmpl w:val="8CFF927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819BA"/>
    <w:rsid w:val="026F1F95"/>
    <w:rsid w:val="044E263C"/>
    <w:rsid w:val="04DF4513"/>
    <w:rsid w:val="04EF0157"/>
    <w:rsid w:val="04FF3EDA"/>
    <w:rsid w:val="058E7188"/>
    <w:rsid w:val="05DA7701"/>
    <w:rsid w:val="08B80A70"/>
    <w:rsid w:val="0D8B2F00"/>
    <w:rsid w:val="0E7334F1"/>
    <w:rsid w:val="10CD7362"/>
    <w:rsid w:val="1277001E"/>
    <w:rsid w:val="130F6D78"/>
    <w:rsid w:val="135B2659"/>
    <w:rsid w:val="14A90A3D"/>
    <w:rsid w:val="151D162F"/>
    <w:rsid w:val="153F4BF2"/>
    <w:rsid w:val="17E769A0"/>
    <w:rsid w:val="19992AF8"/>
    <w:rsid w:val="1A8B0C1A"/>
    <w:rsid w:val="1DEE73A9"/>
    <w:rsid w:val="202341CE"/>
    <w:rsid w:val="203156B2"/>
    <w:rsid w:val="2033457E"/>
    <w:rsid w:val="216D42E3"/>
    <w:rsid w:val="22C558C5"/>
    <w:rsid w:val="23CB6326"/>
    <w:rsid w:val="2417513A"/>
    <w:rsid w:val="244E3435"/>
    <w:rsid w:val="24A5442A"/>
    <w:rsid w:val="24B10A8E"/>
    <w:rsid w:val="24D77F93"/>
    <w:rsid w:val="297908B7"/>
    <w:rsid w:val="2BC87B1A"/>
    <w:rsid w:val="2C3D2866"/>
    <w:rsid w:val="2CBA507E"/>
    <w:rsid w:val="2D1D0511"/>
    <w:rsid w:val="2E206673"/>
    <w:rsid w:val="2FDA6F72"/>
    <w:rsid w:val="300E7D16"/>
    <w:rsid w:val="303744C1"/>
    <w:rsid w:val="3BCF26BC"/>
    <w:rsid w:val="3BFA34CD"/>
    <w:rsid w:val="3CC01738"/>
    <w:rsid w:val="3D36273C"/>
    <w:rsid w:val="3D6131FC"/>
    <w:rsid w:val="3D881B35"/>
    <w:rsid w:val="3DEE004D"/>
    <w:rsid w:val="3F79635F"/>
    <w:rsid w:val="410933EE"/>
    <w:rsid w:val="43F02E72"/>
    <w:rsid w:val="44E12B24"/>
    <w:rsid w:val="457E5BE1"/>
    <w:rsid w:val="45B2019C"/>
    <w:rsid w:val="46CC43AB"/>
    <w:rsid w:val="48D66460"/>
    <w:rsid w:val="496835BF"/>
    <w:rsid w:val="4E1A1007"/>
    <w:rsid w:val="50DD758B"/>
    <w:rsid w:val="51F84817"/>
    <w:rsid w:val="5204715D"/>
    <w:rsid w:val="53323E5F"/>
    <w:rsid w:val="539C1664"/>
    <w:rsid w:val="5453358B"/>
    <w:rsid w:val="549B63D8"/>
    <w:rsid w:val="54C004C8"/>
    <w:rsid w:val="555A064F"/>
    <w:rsid w:val="56442D6C"/>
    <w:rsid w:val="56483E4E"/>
    <w:rsid w:val="57845BE1"/>
    <w:rsid w:val="57E56233"/>
    <w:rsid w:val="58CC53BB"/>
    <w:rsid w:val="5A334A23"/>
    <w:rsid w:val="5B2C410C"/>
    <w:rsid w:val="5B927333"/>
    <w:rsid w:val="5D3E3408"/>
    <w:rsid w:val="5FE35E08"/>
    <w:rsid w:val="611B1EE6"/>
    <w:rsid w:val="61620F39"/>
    <w:rsid w:val="62BE6902"/>
    <w:rsid w:val="63FD5798"/>
    <w:rsid w:val="65653640"/>
    <w:rsid w:val="672156A1"/>
    <w:rsid w:val="67F92FB6"/>
    <w:rsid w:val="68997A00"/>
    <w:rsid w:val="68EA624A"/>
    <w:rsid w:val="6A953595"/>
    <w:rsid w:val="6DFF31C2"/>
    <w:rsid w:val="6EA54AA2"/>
    <w:rsid w:val="718C3F52"/>
    <w:rsid w:val="71DC6704"/>
    <w:rsid w:val="72542558"/>
    <w:rsid w:val="73D67F94"/>
    <w:rsid w:val="74573EE2"/>
    <w:rsid w:val="78E0383D"/>
    <w:rsid w:val="795B6796"/>
    <w:rsid w:val="7A2C7928"/>
    <w:rsid w:val="7F7C4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pPr>
    <w:rPr>
      <w:rFonts w:hint="eastAsia" w:ascii="Microsoft JhengHei Light" w:hAnsi="Microsoft JhengHei Light" w:eastAsia="Microsoft JhengHei Light" w:cs="Times New Roman"/>
      <w:color w:val="000000"/>
      <w:sz w:val="24"/>
      <w:lang w:val="en-US" w:eastAsia="en-US"/>
    </w:rPr>
  </w:style>
  <w:style w:type="paragraph" w:styleId="2">
    <w:name w:val="heading 1"/>
    <w:basedOn w:val="1"/>
    <w:next w:val="1"/>
    <w:link w:val="18"/>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标题 #2"/>
    <w:basedOn w:val="1"/>
    <w:link w:val="8"/>
    <w:unhideWhenUsed/>
    <w:qFormat/>
    <w:uiPriority w:val="99"/>
    <w:pPr>
      <w:shd w:val="clear" w:color="auto" w:fill="FFFFFF"/>
      <w:spacing w:after="500" w:line="547" w:lineRule="exact"/>
      <w:jc w:val="center"/>
      <w:outlineLvl w:val="1"/>
    </w:pPr>
    <w:rPr>
      <w:rFonts w:hint="eastAsia" w:ascii="MingLiU" w:hAnsi="MingLiU" w:eastAsia="MingLiU"/>
      <w:sz w:val="42"/>
      <w:lang w:val="zh-CN" w:eastAsia="zh-CN"/>
    </w:rPr>
  </w:style>
  <w:style w:type="character" w:customStyle="1" w:styleId="8">
    <w:name w:val="标题 #2_"/>
    <w:basedOn w:val="6"/>
    <w:link w:val="7"/>
    <w:unhideWhenUsed/>
    <w:qFormat/>
    <w:uiPriority w:val="99"/>
    <w:rPr>
      <w:rFonts w:hint="eastAsia" w:ascii="MingLiU" w:hAnsi="MingLiU" w:eastAsia="MingLiU"/>
      <w:sz w:val="42"/>
      <w:lang w:val="zh-CN" w:eastAsia="zh-CN"/>
    </w:rPr>
  </w:style>
  <w:style w:type="paragraph" w:customStyle="1" w:styleId="9">
    <w:name w:val="正文文本1"/>
    <w:basedOn w:val="1"/>
    <w:link w:val="10"/>
    <w:unhideWhenUsed/>
    <w:qFormat/>
    <w:uiPriority w:val="99"/>
    <w:pPr>
      <w:shd w:val="clear" w:color="auto" w:fill="FFFFFF"/>
      <w:spacing w:line="377" w:lineRule="auto"/>
      <w:ind w:firstLine="400"/>
    </w:pPr>
    <w:rPr>
      <w:rFonts w:hint="eastAsia" w:ascii="MingLiU" w:hAnsi="MingLiU" w:eastAsia="MingLiU"/>
      <w:sz w:val="30"/>
      <w:lang w:val="zh-CN" w:eastAsia="zh-CN"/>
    </w:rPr>
  </w:style>
  <w:style w:type="character" w:customStyle="1" w:styleId="10">
    <w:name w:val="正文文本_"/>
    <w:basedOn w:val="6"/>
    <w:link w:val="9"/>
    <w:unhideWhenUsed/>
    <w:qFormat/>
    <w:uiPriority w:val="99"/>
    <w:rPr>
      <w:rFonts w:hint="eastAsia" w:ascii="MingLiU" w:hAnsi="MingLiU" w:eastAsia="MingLiU"/>
      <w:sz w:val="30"/>
      <w:lang w:val="zh-CN" w:eastAsia="zh-CN"/>
    </w:rPr>
  </w:style>
  <w:style w:type="paragraph" w:customStyle="1" w:styleId="11">
    <w:name w:val="目录"/>
    <w:basedOn w:val="1"/>
    <w:unhideWhenUsed/>
    <w:qFormat/>
    <w:uiPriority w:val="99"/>
    <w:pPr>
      <w:shd w:val="clear" w:color="auto" w:fill="FFFFFF"/>
      <w:spacing w:after="260"/>
      <w:ind w:firstLine="420"/>
    </w:pPr>
    <w:rPr>
      <w:rFonts w:hint="eastAsia" w:ascii="MingLiU" w:hAnsi="MingLiU" w:eastAsia="MingLiU"/>
      <w:sz w:val="30"/>
      <w:lang w:val="zh-CN" w:eastAsia="zh-CN"/>
    </w:rPr>
  </w:style>
  <w:style w:type="character" w:customStyle="1" w:styleId="12">
    <w:name w:val="font11"/>
    <w:basedOn w:val="6"/>
    <w:qFormat/>
    <w:uiPriority w:val="0"/>
    <w:rPr>
      <w:rFonts w:hint="eastAsia" w:ascii="微软雅黑" w:hAnsi="微软雅黑" w:eastAsia="微软雅黑" w:cs="微软雅黑"/>
      <w:color w:val="000000"/>
      <w:sz w:val="21"/>
      <w:szCs w:val="21"/>
      <w:u w:val="none"/>
    </w:rPr>
  </w:style>
  <w:style w:type="character" w:customStyle="1" w:styleId="13">
    <w:name w:val="其他_"/>
    <w:basedOn w:val="6"/>
    <w:link w:val="14"/>
    <w:unhideWhenUsed/>
    <w:qFormat/>
    <w:uiPriority w:val="99"/>
    <w:rPr>
      <w:rFonts w:hint="eastAsia" w:ascii="MingLiU" w:hAnsi="MingLiU" w:eastAsia="MingLiU"/>
      <w:sz w:val="30"/>
      <w:lang w:val="zh-CN" w:eastAsia="zh-CN"/>
    </w:rPr>
  </w:style>
  <w:style w:type="paragraph" w:customStyle="1" w:styleId="14">
    <w:name w:val="其他"/>
    <w:basedOn w:val="1"/>
    <w:link w:val="13"/>
    <w:unhideWhenUsed/>
    <w:qFormat/>
    <w:uiPriority w:val="99"/>
    <w:pPr>
      <w:shd w:val="clear" w:color="auto" w:fill="FFFFFF"/>
      <w:spacing w:line="377" w:lineRule="auto"/>
      <w:ind w:firstLine="400"/>
    </w:pPr>
    <w:rPr>
      <w:rFonts w:hint="eastAsia" w:ascii="MingLiU" w:hAnsi="MingLiU" w:eastAsia="MingLiU"/>
      <w:sz w:val="30"/>
      <w:lang w:val="zh-CN" w:eastAsia="zh-CN"/>
    </w:rPr>
  </w:style>
  <w:style w:type="paragraph" w:customStyle="1" w:styleId="15">
    <w:name w:val="页眉或页脚 (2)"/>
    <w:basedOn w:val="1"/>
    <w:link w:val="16"/>
    <w:unhideWhenUsed/>
    <w:qFormat/>
    <w:uiPriority w:val="99"/>
    <w:rPr>
      <w:rFonts w:hint="eastAsia" w:ascii="Times New Roman" w:hAnsi="Times New Roman" w:eastAsia="Times New Roman"/>
      <w:sz w:val="20"/>
      <w:lang w:val="zh-CN" w:eastAsia="zh-CN"/>
    </w:rPr>
  </w:style>
  <w:style w:type="character" w:customStyle="1" w:styleId="16">
    <w:name w:val="页眉或页脚 (2)_"/>
    <w:basedOn w:val="6"/>
    <w:link w:val="15"/>
    <w:unhideWhenUsed/>
    <w:qFormat/>
    <w:uiPriority w:val="99"/>
    <w:rPr>
      <w:rFonts w:hint="eastAsia" w:ascii="Times New Roman" w:hAnsi="Times New Roman" w:eastAsia="Times New Roman"/>
      <w:sz w:val="20"/>
      <w:lang w:val="zh-CN" w:eastAsia="zh-CN"/>
    </w:rPr>
  </w:style>
  <w:style w:type="paragraph" w:customStyle="1" w:styleId="17">
    <w:name w:val="p0"/>
    <w:basedOn w:val="1"/>
    <w:qFormat/>
    <w:uiPriority w:val="0"/>
    <w:pPr>
      <w:widowControl/>
    </w:pPr>
    <w:rPr>
      <w:rFonts w:cs="宋体"/>
      <w:kern w:val="0"/>
      <w:szCs w:val="21"/>
    </w:rPr>
  </w:style>
  <w:style w:type="character" w:customStyle="1" w:styleId="18">
    <w:name w:val="标题 1 Char"/>
    <w:link w:val="2"/>
    <w:qFormat/>
    <w:uiPriority w:val="9"/>
    <w:rPr>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2021-09-23T05:57:00Z</dcterms:created>
  <dc:creator>xmb-user</dc:creator>
  <cp:lastModifiedBy>Administrator</cp:lastModifiedBy>
  <dcterms:modified xsi:type="dcterms:W3CDTF">2022-01-14T08:26:19Z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