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50" w:rsidRPr="007931BA" w:rsidRDefault="000A7528" w:rsidP="00741B36">
      <w:pPr>
        <w:pStyle w:val="font14"/>
        <w:spacing w:after="312"/>
        <w:jc w:val="both"/>
        <w:rPr>
          <w:rStyle w:val="a5"/>
          <w:sz w:val="30"/>
          <w:szCs w:val="30"/>
        </w:rPr>
      </w:pPr>
      <w:bookmarkStart w:id="0" w:name="_GoBack"/>
      <w:bookmarkEnd w:id="0"/>
      <w:r w:rsidRPr="007931BA">
        <w:rPr>
          <w:rStyle w:val="a5"/>
          <w:sz w:val="30"/>
          <w:szCs w:val="30"/>
        </w:rPr>
        <w:t>易方达基金管理有限公司关于</w:t>
      </w:r>
      <w:r>
        <w:rPr>
          <w:rStyle w:val="a5"/>
          <w:rFonts w:hint="eastAsia"/>
          <w:sz w:val="30"/>
          <w:szCs w:val="30"/>
        </w:rPr>
        <w:t>调整</w:t>
      </w:r>
      <w:r w:rsidRPr="007931BA">
        <w:rPr>
          <w:rStyle w:val="a5"/>
          <w:sz w:val="30"/>
          <w:szCs w:val="30"/>
        </w:rPr>
        <w:t>旗下部分开放式基金</w:t>
      </w:r>
      <w:r w:rsidRPr="007931BA">
        <w:rPr>
          <w:rStyle w:val="a5"/>
          <w:bCs w:val="0"/>
          <w:sz w:val="30"/>
          <w:szCs w:val="30"/>
        </w:rPr>
        <w:t>申购</w:t>
      </w:r>
      <w:r w:rsidR="00B34050" w:rsidRPr="007931BA">
        <w:rPr>
          <w:rStyle w:val="a5"/>
          <w:bCs w:val="0"/>
          <w:sz w:val="30"/>
          <w:szCs w:val="30"/>
        </w:rPr>
        <w:t>、赎回、</w:t>
      </w:r>
      <w:r w:rsidR="00692AA2" w:rsidRPr="007931BA">
        <w:rPr>
          <w:rStyle w:val="a5"/>
          <w:bCs w:val="0"/>
          <w:sz w:val="30"/>
          <w:szCs w:val="30"/>
        </w:rPr>
        <w:t>转换转出</w:t>
      </w:r>
      <w:r w:rsidR="00692AA2" w:rsidRPr="007931BA">
        <w:rPr>
          <w:rStyle w:val="a5"/>
          <w:rFonts w:hint="eastAsia"/>
          <w:bCs w:val="0"/>
          <w:sz w:val="30"/>
          <w:szCs w:val="30"/>
        </w:rPr>
        <w:t>、</w:t>
      </w:r>
      <w:r w:rsidR="00692AA2" w:rsidRPr="007931BA">
        <w:rPr>
          <w:rStyle w:val="a5"/>
          <w:bCs w:val="0"/>
          <w:sz w:val="30"/>
          <w:szCs w:val="30"/>
        </w:rPr>
        <w:t>最低持有份额</w:t>
      </w:r>
      <w:r w:rsidR="00692AA2" w:rsidRPr="007931BA">
        <w:rPr>
          <w:rStyle w:val="a5"/>
          <w:rFonts w:hint="eastAsia"/>
          <w:bCs w:val="0"/>
          <w:sz w:val="30"/>
          <w:szCs w:val="30"/>
        </w:rPr>
        <w:t>和</w:t>
      </w:r>
      <w:r w:rsidR="00692AA2" w:rsidRPr="007931BA">
        <w:rPr>
          <w:rStyle w:val="a5"/>
          <w:bCs w:val="0"/>
          <w:sz w:val="30"/>
          <w:szCs w:val="30"/>
        </w:rPr>
        <w:t>定期定额投资数额限制的公告</w:t>
      </w:r>
    </w:p>
    <w:p w:rsidR="000A1A61" w:rsidRPr="007931BA" w:rsidRDefault="0014148C" w:rsidP="00741B36">
      <w:pPr>
        <w:pStyle w:val="Default"/>
        <w:spacing w:line="360" w:lineRule="auto"/>
        <w:ind w:firstLineChars="200" w:firstLine="480"/>
        <w:contextualSpacing/>
        <w:jc w:val="both"/>
        <w:rPr>
          <w:rFonts w:asciiTheme="minorEastAsia" w:eastAsiaTheme="minorEastAsia" w:hAnsiTheme="minorEastAsia"/>
          <w:color w:val="auto"/>
        </w:rPr>
      </w:pPr>
      <w:r w:rsidRPr="007931BA">
        <w:rPr>
          <w:rFonts w:asciiTheme="minorEastAsia" w:eastAsiaTheme="minorEastAsia" w:hAnsiTheme="minorEastAsia" w:hint="eastAsia"/>
          <w:color w:val="auto"/>
        </w:rPr>
        <w:t>为了更好地满足投资者的理财需求，根据相关基金合同、招募说明书及其更新的有关规定，易方达基金管理有限公司（以下简称“本公司”）决定自</w:t>
      </w:r>
      <w:r w:rsidR="00692AA2" w:rsidRPr="007931BA">
        <w:rPr>
          <w:rFonts w:asciiTheme="minorEastAsia" w:eastAsiaTheme="minorEastAsia" w:hAnsiTheme="minorEastAsia" w:cs="Times New Roman"/>
          <w:color w:val="auto"/>
        </w:rPr>
        <w:t>2017</w:t>
      </w:r>
      <w:r w:rsidRPr="007931BA">
        <w:rPr>
          <w:rFonts w:asciiTheme="minorEastAsia" w:eastAsiaTheme="minorEastAsia" w:hAnsiTheme="minorEastAsia" w:hint="eastAsia"/>
          <w:color w:val="auto"/>
        </w:rPr>
        <w:t>年</w:t>
      </w:r>
      <w:r w:rsidR="00692AA2" w:rsidRPr="007931BA">
        <w:rPr>
          <w:rFonts w:asciiTheme="minorEastAsia" w:eastAsiaTheme="minorEastAsia" w:hAnsiTheme="minorEastAsia" w:cs="Times New Roman"/>
          <w:color w:val="auto"/>
        </w:rPr>
        <w:t>11</w:t>
      </w:r>
      <w:r w:rsidRPr="007931BA">
        <w:rPr>
          <w:rFonts w:asciiTheme="minorEastAsia" w:eastAsiaTheme="minorEastAsia" w:hAnsiTheme="minorEastAsia" w:hint="eastAsia"/>
          <w:color w:val="auto"/>
        </w:rPr>
        <w:t>月</w:t>
      </w:r>
      <w:r w:rsidR="003A16FD">
        <w:rPr>
          <w:rFonts w:asciiTheme="minorEastAsia" w:eastAsiaTheme="minorEastAsia" w:hAnsiTheme="minorEastAsia" w:cs="Times New Roman"/>
          <w:color w:val="auto"/>
        </w:rPr>
        <w:t>17</w:t>
      </w:r>
      <w:r w:rsidR="008C56F3" w:rsidRPr="007931BA">
        <w:rPr>
          <w:rFonts w:asciiTheme="minorEastAsia" w:eastAsiaTheme="minorEastAsia" w:hAnsiTheme="minorEastAsia" w:hint="eastAsia"/>
          <w:color w:val="auto"/>
        </w:rPr>
        <w:t>日起，</w:t>
      </w:r>
      <w:r w:rsidR="00461B0C">
        <w:rPr>
          <w:rFonts w:asciiTheme="minorEastAsia" w:eastAsiaTheme="minorEastAsia" w:hAnsiTheme="minorEastAsia" w:hint="eastAsia"/>
          <w:color w:val="auto"/>
        </w:rPr>
        <w:t>调整</w:t>
      </w:r>
      <w:r w:rsidR="00461B0C" w:rsidRPr="007931BA">
        <w:rPr>
          <w:rFonts w:asciiTheme="minorEastAsia" w:eastAsiaTheme="minorEastAsia" w:hAnsiTheme="minorEastAsia" w:hint="eastAsia"/>
          <w:color w:val="auto"/>
        </w:rPr>
        <w:t>旗下部分开放式基金</w:t>
      </w:r>
      <w:r w:rsidR="00461B0C" w:rsidRPr="007931BA">
        <w:rPr>
          <w:rFonts w:asciiTheme="minorEastAsia" w:eastAsiaTheme="minorEastAsia" w:hAnsiTheme="minorEastAsia"/>
          <w:color w:val="auto"/>
        </w:rPr>
        <w:t>申购</w:t>
      </w:r>
      <w:r w:rsidR="00B34050" w:rsidRPr="007931BA">
        <w:rPr>
          <w:rFonts w:asciiTheme="minorEastAsia" w:eastAsiaTheme="minorEastAsia" w:hAnsiTheme="minorEastAsia"/>
          <w:color w:val="auto"/>
        </w:rPr>
        <w:t>、赎回、</w:t>
      </w:r>
      <w:r w:rsidR="00692AA2" w:rsidRPr="007931BA">
        <w:rPr>
          <w:rFonts w:asciiTheme="minorEastAsia" w:eastAsiaTheme="minorEastAsia" w:hAnsiTheme="minorEastAsia"/>
          <w:color w:val="auto"/>
        </w:rPr>
        <w:t>转换转出</w:t>
      </w:r>
      <w:r w:rsidR="00692AA2" w:rsidRPr="007931BA">
        <w:rPr>
          <w:rFonts w:asciiTheme="minorEastAsia" w:eastAsiaTheme="minorEastAsia" w:hAnsiTheme="minorEastAsia" w:hint="eastAsia"/>
          <w:color w:val="auto"/>
        </w:rPr>
        <w:t>、最低持有份额和</w:t>
      </w:r>
      <w:r w:rsidR="00692AA2" w:rsidRPr="007931BA">
        <w:rPr>
          <w:rFonts w:asciiTheme="minorEastAsia" w:eastAsiaTheme="minorEastAsia" w:hAnsiTheme="minorEastAsia"/>
          <w:color w:val="auto"/>
        </w:rPr>
        <w:t>定期定额投资的数额限制</w:t>
      </w:r>
      <w:r w:rsidRPr="007931BA">
        <w:rPr>
          <w:rFonts w:asciiTheme="minorEastAsia" w:eastAsiaTheme="minorEastAsia" w:hAnsiTheme="minorEastAsia" w:hint="eastAsia"/>
          <w:color w:val="auto"/>
        </w:rPr>
        <w:t>。</w:t>
      </w:r>
    </w:p>
    <w:p w:rsidR="000A1A61" w:rsidRPr="007931BA" w:rsidRDefault="0014148C" w:rsidP="00741B36">
      <w:pPr>
        <w:widowControl/>
        <w:spacing w:afterLines="0" w:line="360" w:lineRule="auto"/>
        <w:ind w:firstLineChars="200" w:firstLine="480"/>
        <w:contextualSpacing/>
        <w:rPr>
          <w:rFonts w:asciiTheme="minorEastAsia" w:hAnsiTheme="minorEastAsia" w:cs="宋体"/>
          <w:kern w:val="0"/>
          <w:sz w:val="24"/>
          <w:szCs w:val="24"/>
        </w:rPr>
      </w:pPr>
      <w:r w:rsidRPr="007931BA">
        <w:rPr>
          <w:rFonts w:asciiTheme="minorEastAsia" w:hAnsiTheme="minorEastAsia" w:cs="宋体" w:hint="eastAsia"/>
          <w:kern w:val="0"/>
          <w:sz w:val="24"/>
          <w:szCs w:val="24"/>
        </w:rPr>
        <w:t>现将有关事项公告如下：</w:t>
      </w:r>
    </w:p>
    <w:p w:rsidR="000A1A61" w:rsidRPr="007931BA" w:rsidRDefault="0014148C" w:rsidP="00741B36">
      <w:pPr>
        <w:widowControl/>
        <w:spacing w:afterLines="0" w:line="360" w:lineRule="auto"/>
        <w:ind w:firstLineChars="200" w:firstLine="480"/>
        <w:contextualSpacing/>
        <w:rPr>
          <w:rFonts w:asciiTheme="minorEastAsia" w:hAnsiTheme="minorEastAsia" w:cs="宋体"/>
          <w:kern w:val="0"/>
          <w:sz w:val="24"/>
          <w:szCs w:val="24"/>
        </w:rPr>
      </w:pPr>
      <w:r w:rsidRPr="007931BA">
        <w:rPr>
          <w:rFonts w:asciiTheme="minorEastAsia" w:hAnsiTheme="minorEastAsia" w:cs="宋体" w:hint="eastAsia"/>
          <w:kern w:val="0"/>
          <w:sz w:val="24"/>
          <w:szCs w:val="24"/>
        </w:rPr>
        <w:t>一、调整方案</w:t>
      </w:r>
    </w:p>
    <w:p w:rsidR="00277414" w:rsidRPr="007931BA" w:rsidRDefault="0014148C" w:rsidP="00741B36">
      <w:pPr>
        <w:widowControl/>
        <w:spacing w:afterLines="0" w:line="360" w:lineRule="auto"/>
        <w:ind w:firstLineChars="200" w:firstLine="480"/>
        <w:contextualSpacing/>
        <w:rPr>
          <w:rFonts w:asciiTheme="minorEastAsia" w:hAnsiTheme="minorEastAsia" w:cs="宋体"/>
          <w:kern w:val="0"/>
          <w:sz w:val="24"/>
          <w:szCs w:val="24"/>
        </w:rPr>
      </w:pPr>
      <w:r w:rsidRPr="007931BA">
        <w:rPr>
          <w:rFonts w:asciiTheme="minorEastAsia" w:hAnsiTheme="minorEastAsia" w:cs="宋体" w:hint="eastAsia"/>
          <w:kern w:val="0"/>
          <w:sz w:val="24"/>
          <w:szCs w:val="24"/>
        </w:rPr>
        <w:t>1.</w:t>
      </w:r>
      <w:r w:rsidR="00F94F93" w:rsidRPr="00F94F93">
        <w:rPr>
          <w:rFonts w:asciiTheme="minorEastAsia" w:hAnsiTheme="minorEastAsia" w:cs="宋体" w:hint="eastAsia"/>
          <w:kern w:val="0"/>
          <w:sz w:val="24"/>
          <w:szCs w:val="24"/>
        </w:rPr>
        <w:t>调整首次申购、追加申购的单笔最低金额限制</w:t>
      </w:r>
    </w:p>
    <w:p w:rsidR="004B20B8" w:rsidRPr="004B20B8" w:rsidRDefault="00B8258B" w:rsidP="00741B36">
      <w:pPr>
        <w:widowControl/>
        <w:spacing w:afterLines="0" w:line="360" w:lineRule="auto"/>
        <w:ind w:firstLineChars="200" w:firstLine="480"/>
        <w:contextualSpacing/>
        <w:rPr>
          <w:rFonts w:asciiTheme="minorEastAsia" w:hAnsiTheme="minorEastAsia" w:cs="宋体"/>
          <w:kern w:val="0"/>
          <w:szCs w:val="21"/>
        </w:rPr>
      </w:pPr>
      <w:r w:rsidRPr="007931BA">
        <w:rPr>
          <w:rFonts w:asciiTheme="minorEastAsia" w:hAnsiTheme="minorEastAsia" w:cs="宋体" w:hint="eastAsia"/>
          <w:kern w:val="0"/>
          <w:sz w:val="24"/>
          <w:szCs w:val="24"/>
        </w:rPr>
        <w:t>（1）</w:t>
      </w:r>
      <w:r w:rsidR="0014148C" w:rsidRPr="007931BA">
        <w:rPr>
          <w:rFonts w:asciiTheme="minorEastAsia" w:hAnsiTheme="minorEastAsia" w:cs="宋体" w:hint="eastAsia"/>
          <w:kern w:val="0"/>
          <w:sz w:val="24"/>
          <w:szCs w:val="24"/>
        </w:rPr>
        <w:t>适用基金</w:t>
      </w:r>
    </w:p>
    <w:tbl>
      <w:tblPr>
        <w:tblW w:w="9380" w:type="dxa"/>
        <w:tblInd w:w="108" w:type="dxa"/>
        <w:tblLook w:val="04A0" w:firstRow="1" w:lastRow="0" w:firstColumn="1" w:lastColumn="0" w:noHBand="0" w:noVBand="1"/>
      </w:tblPr>
      <w:tblGrid>
        <w:gridCol w:w="1920"/>
        <w:gridCol w:w="7460"/>
      </w:tblGrid>
      <w:tr w:rsidR="004B20B8" w:rsidRPr="004B20B8" w:rsidTr="00257FAF">
        <w:trPr>
          <w:trHeight w:val="270"/>
        </w:trPr>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B20B8" w:rsidRPr="004B20B8" w:rsidRDefault="004B20B8" w:rsidP="004B20B8">
            <w:pPr>
              <w:widowControl/>
              <w:spacing w:afterLines="0" w:after="240"/>
              <w:rPr>
                <w:rFonts w:asciiTheme="minorEastAsia" w:hAnsiTheme="minorEastAsia" w:cs="宋体"/>
                <w:color w:val="000000"/>
                <w:kern w:val="0"/>
                <w:szCs w:val="21"/>
              </w:rPr>
            </w:pPr>
            <w:r w:rsidRPr="004B20B8">
              <w:rPr>
                <w:rFonts w:asciiTheme="minorEastAsia" w:hAnsiTheme="minorEastAsia" w:cs="宋体" w:hint="eastAsia"/>
                <w:color w:val="000000"/>
                <w:kern w:val="0"/>
                <w:szCs w:val="21"/>
              </w:rPr>
              <w:t>基金代码</w:t>
            </w:r>
          </w:p>
        </w:tc>
        <w:tc>
          <w:tcPr>
            <w:tcW w:w="74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20B8" w:rsidRPr="004B20B8" w:rsidRDefault="004B20B8" w:rsidP="004B20B8">
            <w:pPr>
              <w:widowControl/>
              <w:spacing w:afterLines="0"/>
              <w:rPr>
                <w:rFonts w:asciiTheme="minorEastAsia" w:hAnsiTheme="minorEastAsia" w:cs="宋体"/>
                <w:color w:val="000000"/>
                <w:kern w:val="0"/>
                <w:szCs w:val="21"/>
              </w:rPr>
            </w:pPr>
            <w:r w:rsidRPr="004B20B8">
              <w:rPr>
                <w:rFonts w:asciiTheme="minorEastAsia" w:hAnsiTheme="minorEastAsia" w:cs="宋体" w:hint="eastAsia"/>
                <w:color w:val="000000"/>
                <w:kern w:val="0"/>
                <w:szCs w:val="21"/>
              </w:rPr>
              <w:t>基金全称</w:t>
            </w:r>
          </w:p>
        </w:tc>
      </w:tr>
      <w:tr w:rsidR="00D1556F" w:rsidRPr="004B20B8" w:rsidTr="00257FAF">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000111</w:t>
            </w:r>
            <w:r>
              <w:rPr>
                <w:rFonts w:hint="eastAsia"/>
                <w:color w:val="000000"/>
                <w:sz w:val="22"/>
              </w:rPr>
              <w:t>、</w:t>
            </w:r>
            <w:r>
              <w:rPr>
                <w:rFonts w:hint="eastAsia"/>
                <w:color w:val="000000"/>
                <w:sz w:val="22"/>
              </w:rPr>
              <w:t>000112</w:t>
            </w:r>
          </w:p>
        </w:tc>
        <w:tc>
          <w:tcPr>
            <w:tcW w:w="7460" w:type="dxa"/>
            <w:tcBorders>
              <w:top w:val="nil"/>
              <w:left w:val="nil"/>
              <w:bottom w:val="single" w:sz="4" w:space="0" w:color="auto"/>
              <w:right w:val="single" w:sz="4" w:space="0" w:color="auto"/>
            </w:tcBorders>
            <w:shd w:val="clear" w:color="auto" w:fill="FFFFFF" w:themeFill="background1"/>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易方达纯债</w:t>
            </w:r>
            <w:r>
              <w:rPr>
                <w:rFonts w:hint="eastAsia"/>
                <w:color w:val="000000"/>
                <w:sz w:val="22"/>
              </w:rPr>
              <w:t>1</w:t>
            </w:r>
            <w:r>
              <w:rPr>
                <w:rFonts w:hint="eastAsia"/>
                <w:color w:val="000000"/>
                <w:sz w:val="22"/>
              </w:rPr>
              <w:t>年定期开放债券型证券投资基金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257FAF">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000147</w:t>
            </w:r>
            <w:r>
              <w:rPr>
                <w:rFonts w:hint="eastAsia"/>
                <w:color w:val="000000"/>
                <w:sz w:val="22"/>
              </w:rPr>
              <w:t>、</w:t>
            </w:r>
            <w:r>
              <w:rPr>
                <w:rFonts w:hint="eastAsia"/>
                <w:color w:val="000000"/>
                <w:sz w:val="22"/>
              </w:rPr>
              <w:t>000148</w:t>
            </w:r>
          </w:p>
        </w:tc>
        <w:tc>
          <w:tcPr>
            <w:tcW w:w="7460" w:type="dxa"/>
            <w:tcBorders>
              <w:top w:val="nil"/>
              <w:left w:val="nil"/>
              <w:bottom w:val="single" w:sz="4" w:space="0" w:color="auto"/>
              <w:right w:val="single" w:sz="4" w:space="0" w:color="auto"/>
            </w:tcBorders>
            <w:shd w:val="clear" w:color="auto" w:fill="FFFFFF" w:themeFill="background1"/>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易方达高等级信用债债券型证券投资基金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257FAF">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000171</w:t>
            </w:r>
          </w:p>
        </w:tc>
        <w:tc>
          <w:tcPr>
            <w:tcW w:w="7460" w:type="dxa"/>
            <w:tcBorders>
              <w:top w:val="nil"/>
              <w:left w:val="nil"/>
              <w:bottom w:val="single" w:sz="4" w:space="0" w:color="auto"/>
              <w:right w:val="single" w:sz="4" w:space="0" w:color="auto"/>
            </w:tcBorders>
            <w:shd w:val="clear" w:color="auto" w:fill="FFFFFF" w:themeFill="background1"/>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易方达裕丰回报债券型证券投资基金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000265</w:t>
            </w:r>
            <w:r>
              <w:rPr>
                <w:rFonts w:hint="eastAsia"/>
                <w:color w:val="000000"/>
                <w:sz w:val="22"/>
              </w:rPr>
              <w:t>、</w:t>
            </w:r>
            <w:r>
              <w:rPr>
                <w:rFonts w:hint="eastAsia"/>
                <w:color w:val="000000"/>
                <w:sz w:val="22"/>
              </w:rPr>
              <w:t>000266</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易方达恒久添利</w:t>
            </w:r>
            <w:r>
              <w:rPr>
                <w:rFonts w:hint="eastAsia"/>
                <w:color w:val="000000"/>
                <w:sz w:val="22"/>
              </w:rPr>
              <w:t>1</w:t>
            </w:r>
            <w:r>
              <w:rPr>
                <w:rFonts w:hint="eastAsia"/>
                <w:color w:val="000000"/>
                <w:sz w:val="22"/>
              </w:rPr>
              <w:t>年定期开放债券型证券投资基金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000404</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易方达新兴成长灵活配置混合型证券投资基金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000436</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易方达裕惠回报定期开放式混合型发起式证券投资基金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000603</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易方达创新驱动灵活配置混合型证券投资基金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000833</w:t>
            </w:r>
            <w:r>
              <w:rPr>
                <w:rFonts w:hint="eastAsia"/>
                <w:color w:val="000000"/>
                <w:sz w:val="22"/>
              </w:rPr>
              <w:t>、</w:t>
            </w:r>
            <w:r>
              <w:rPr>
                <w:rFonts w:hint="eastAsia"/>
                <w:color w:val="000000"/>
                <w:sz w:val="22"/>
              </w:rPr>
              <w:t>005100</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易方达掌柜季季盈理财债券型证券投资基金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000950</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易方达沪深</w:t>
            </w:r>
            <w:r>
              <w:rPr>
                <w:rFonts w:hint="eastAsia"/>
                <w:color w:val="000000"/>
                <w:sz w:val="22"/>
              </w:rPr>
              <w:t>300</w:t>
            </w:r>
            <w:r>
              <w:rPr>
                <w:rFonts w:hint="eastAsia"/>
                <w:color w:val="000000"/>
                <w:sz w:val="22"/>
              </w:rPr>
              <w:t>非银行金融交易型开放式指数证券投资基金联接基金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001018</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易方达新经济灵活配置混合型证券投资基金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001076</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易方达改革红利混合型证券投资基金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001136</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易方达裕如灵活配置混合型证券投资基金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001182</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易方达安心回馈混合型证券投资基金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001184</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易方达新常态灵活配置混合型证券投资基金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001216</w:t>
            </w:r>
            <w:r>
              <w:rPr>
                <w:rFonts w:hint="eastAsia"/>
                <w:color w:val="000000"/>
                <w:sz w:val="22"/>
              </w:rPr>
              <w:t>、</w:t>
            </w:r>
            <w:r>
              <w:rPr>
                <w:rFonts w:hint="eastAsia"/>
                <w:color w:val="000000"/>
                <w:sz w:val="22"/>
              </w:rPr>
              <w:t>001217</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易方达新收益灵活配置混合型证券投资基金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001249</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易方达新利灵活配置混合型证券投资基金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001285</w:t>
            </w:r>
            <w:r>
              <w:rPr>
                <w:rFonts w:hint="eastAsia"/>
                <w:color w:val="000000"/>
                <w:sz w:val="22"/>
              </w:rPr>
              <w:t>、</w:t>
            </w:r>
            <w:r>
              <w:rPr>
                <w:rFonts w:hint="eastAsia"/>
                <w:color w:val="000000"/>
                <w:sz w:val="22"/>
              </w:rPr>
              <w:t>001286</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易方达新鑫灵活配置混合型证券投资基金</w:t>
            </w:r>
            <w:r>
              <w:rPr>
                <w:rFonts w:hint="eastAsia"/>
                <w:color w:val="000000"/>
                <w:sz w:val="22"/>
              </w:rPr>
              <w:t>I</w:t>
            </w:r>
            <w:r>
              <w:rPr>
                <w:rFonts w:hint="eastAsia"/>
                <w:color w:val="000000"/>
                <w:sz w:val="22"/>
              </w:rPr>
              <w:t>类、</w:t>
            </w:r>
            <w:r>
              <w:rPr>
                <w:rFonts w:hint="eastAsia"/>
                <w:color w:val="000000"/>
                <w:sz w:val="22"/>
              </w:rPr>
              <w:t>E</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001314</w:t>
            </w:r>
            <w:r>
              <w:rPr>
                <w:rFonts w:hint="eastAsia"/>
                <w:color w:val="000000"/>
                <w:sz w:val="22"/>
              </w:rPr>
              <w:t>、</w:t>
            </w:r>
            <w:r>
              <w:rPr>
                <w:rFonts w:hint="eastAsia"/>
                <w:color w:val="000000"/>
                <w:sz w:val="22"/>
              </w:rPr>
              <w:t>001315</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易方达新益灵活配置混合型证券投资基金</w:t>
            </w:r>
            <w:r>
              <w:rPr>
                <w:rFonts w:hint="eastAsia"/>
                <w:color w:val="000000"/>
                <w:sz w:val="22"/>
              </w:rPr>
              <w:t>I</w:t>
            </w:r>
            <w:r>
              <w:rPr>
                <w:rFonts w:hint="eastAsia"/>
                <w:color w:val="000000"/>
                <w:sz w:val="22"/>
              </w:rPr>
              <w:t>类、</w:t>
            </w:r>
            <w:r>
              <w:rPr>
                <w:rFonts w:hint="eastAsia"/>
                <w:color w:val="000000"/>
                <w:sz w:val="22"/>
              </w:rPr>
              <w:t>E</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001342</w:t>
            </w:r>
            <w:r>
              <w:rPr>
                <w:rFonts w:hint="eastAsia"/>
                <w:color w:val="000000"/>
                <w:sz w:val="22"/>
              </w:rPr>
              <w:t>、</w:t>
            </w:r>
            <w:r>
              <w:rPr>
                <w:rFonts w:hint="eastAsia"/>
                <w:color w:val="000000"/>
                <w:sz w:val="22"/>
              </w:rPr>
              <w:t>001343</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易方达新享灵活配置混合型证券投资基金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001373</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易方达新丝路灵活配置混合型证券投资基金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001382</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易方达国企改革混合型证券投资基金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001433</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易方达瑞景灵活配置混合型证券投资基金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001437</w:t>
            </w:r>
            <w:r>
              <w:rPr>
                <w:rFonts w:hint="eastAsia"/>
                <w:color w:val="000000"/>
                <w:sz w:val="22"/>
              </w:rPr>
              <w:t>、</w:t>
            </w:r>
            <w:r>
              <w:rPr>
                <w:rFonts w:hint="eastAsia"/>
                <w:color w:val="000000"/>
                <w:sz w:val="22"/>
              </w:rPr>
              <w:t>001438</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易方达瑞享灵活配置混合型证券投资基金</w:t>
            </w:r>
            <w:r>
              <w:rPr>
                <w:rFonts w:hint="eastAsia"/>
                <w:color w:val="000000"/>
                <w:sz w:val="22"/>
              </w:rPr>
              <w:t>I</w:t>
            </w:r>
            <w:r>
              <w:rPr>
                <w:rFonts w:hint="eastAsia"/>
                <w:color w:val="000000"/>
                <w:sz w:val="22"/>
              </w:rPr>
              <w:t>类、</w:t>
            </w:r>
            <w:r>
              <w:rPr>
                <w:rFonts w:hint="eastAsia"/>
                <w:color w:val="000000"/>
                <w:sz w:val="22"/>
              </w:rPr>
              <w:t>E</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001443</w:t>
            </w:r>
            <w:r>
              <w:rPr>
                <w:rFonts w:hint="eastAsia"/>
                <w:color w:val="000000"/>
                <w:sz w:val="22"/>
              </w:rPr>
              <w:t>、</w:t>
            </w:r>
            <w:r>
              <w:rPr>
                <w:rFonts w:hint="eastAsia"/>
                <w:color w:val="000000"/>
                <w:sz w:val="22"/>
              </w:rPr>
              <w:t>001444</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易方达瑞选灵活配置混合型证券投资基金</w:t>
            </w:r>
            <w:r>
              <w:rPr>
                <w:rFonts w:hint="eastAsia"/>
                <w:color w:val="000000"/>
                <w:sz w:val="22"/>
              </w:rPr>
              <w:t>I</w:t>
            </w:r>
            <w:r>
              <w:rPr>
                <w:rFonts w:hint="eastAsia"/>
                <w:color w:val="000000"/>
                <w:sz w:val="22"/>
              </w:rPr>
              <w:t>类、</w:t>
            </w:r>
            <w:r>
              <w:rPr>
                <w:rFonts w:hint="eastAsia"/>
                <w:color w:val="000000"/>
                <w:sz w:val="22"/>
              </w:rPr>
              <w:t>E</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001475</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易方达国防军工混合型证券投资基金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lastRenderedPageBreak/>
              <w:t>001512</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易方达中债</w:t>
            </w:r>
            <w:r>
              <w:rPr>
                <w:rFonts w:hint="eastAsia"/>
                <w:color w:val="000000"/>
                <w:sz w:val="22"/>
              </w:rPr>
              <w:t>3-5</w:t>
            </w:r>
            <w:r>
              <w:rPr>
                <w:rFonts w:hint="eastAsia"/>
                <w:color w:val="000000"/>
                <w:sz w:val="22"/>
              </w:rPr>
              <w:t>年期国债指数证券投资基金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001603</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易方达安盈回报混合型证券投资基金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001802</w:t>
            </w:r>
            <w:r>
              <w:rPr>
                <w:rFonts w:hint="eastAsia"/>
                <w:color w:val="000000"/>
                <w:sz w:val="22"/>
              </w:rPr>
              <w:t>、</w:t>
            </w:r>
            <w:r>
              <w:rPr>
                <w:rFonts w:hint="eastAsia"/>
                <w:color w:val="000000"/>
                <w:sz w:val="22"/>
              </w:rPr>
              <w:t>001803</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易方达瑞财灵活配置混合型证券投资基金</w:t>
            </w:r>
            <w:r>
              <w:rPr>
                <w:rFonts w:hint="eastAsia"/>
                <w:color w:val="000000"/>
                <w:sz w:val="22"/>
              </w:rPr>
              <w:t>I</w:t>
            </w:r>
            <w:r>
              <w:rPr>
                <w:rFonts w:hint="eastAsia"/>
                <w:color w:val="000000"/>
                <w:sz w:val="22"/>
              </w:rPr>
              <w:t>类、</w:t>
            </w:r>
            <w:r>
              <w:rPr>
                <w:rFonts w:hint="eastAsia"/>
                <w:color w:val="000000"/>
                <w:sz w:val="22"/>
              </w:rPr>
              <w:t>E</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001806</w:t>
            </w:r>
            <w:r>
              <w:rPr>
                <w:rFonts w:hint="eastAsia"/>
                <w:color w:val="000000"/>
                <w:sz w:val="22"/>
              </w:rPr>
              <w:t>、</w:t>
            </w:r>
            <w:r>
              <w:rPr>
                <w:rFonts w:hint="eastAsia"/>
                <w:color w:val="000000"/>
                <w:sz w:val="22"/>
              </w:rPr>
              <w:t>001807</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易方达瑞智灵活配置混合型证券投资基金</w:t>
            </w:r>
            <w:r>
              <w:rPr>
                <w:rFonts w:hint="eastAsia"/>
                <w:color w:val="000000"/>
                <w:sz w:val="22"/>
              </w:rPr>
              <w:t>I</w:t>
            </w:r>
            <w:r>
              <w:rPr>
                <w:rFonts w:hint="eastAsia"/>
                <w:color w:val="000000"/>
                <w:sz w:val="22"/>
              </w:rPr>
              <w:t>类、</w:t>
            </w:r>
            <w:r>
              <w:rPr>
                <w:rFonts w:hint="eastAsia"/>
                <w:color w:val="000000"/>
                <w:sz w:val="22"/>
              </w:rPr>
              <w:t>E</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001817</w:t>
            </w:r>
            <w:r>
              <w:rPr>
                <w:rFonts w:hint="eastAsia"/>
                <w:color w:val="000000"/>
                <w:sz w:val="22"/>
              </w:rPr>
              <w:t>、</w:t>
            </w:r>
            <w:r>
              <w:rPr>
                <w:rFonts w:hint="eastAsia"/>
                <w:color w:val="000000"/>
                <w:sz w:val="22"/>
              </w:rPr>
              <w:t>001818</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易方达瑞兴灵活配置混合型证券投资基金</w:t>
            </w:r>
            <w:r>
              <w:rPr>
                <w:rFonts w:hint="eastAsia"/>
                <w:color w:val="000000"/>
                <w:sz w:val="22"/>
              </w:rPr>
              <w:t>I</w:t>
            </w:r>
            <w:r>
              <w:rPr>
                <w:rFonts w:hint="eastAsia"/>
                <w:color w:val="000000"/>
                <w:sz w:val="22"/>
              </w:rPr>
              <w:t>类、</w:t>
            </w:r>
            <w:r>
              <w:rPr>
                <w:rFonts w:hint="eastAsia"/>
                <w:color w:val="000000"/>
                <w:sz w:val="22"/>
              </w:rPr>
              <w:t>E</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001856</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易方达环保主题灵活配置混合型证券投资基金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001898</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易方达大健康主题灵活配置混合型证券投资基金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002351</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易方达裕祥回报债券型证券投资基金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002600</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易方达裕景添利</w:t>
            </w:r>
            <w:r>
              <w:rPr>
                <w:rFonts w:hint="eastAsia"/>
                <w:color w:val="000000"/>
                <w:sz w:val="22"/>
              </w:rPr>
              <w:t>6</w:t>
            </w:r>
            <w:r>
              <w:rPr>
                <w:rFonts w:hint="eastAsia"/>
                <w:color w:val="000000"/>
                <w:sz w:val="22"/>
              </w:rPr>
              <w:t>个月定期开放债券型证券投资基金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002602</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易方达丰惠混合型证券投资基金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002910</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易方达供给改革灵活配置混合型证券投资基金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003133</w:t>
            </w:r>
            <w:r>
              <w:rPr>
                <w:rFonts w:hint="eastAsia"/>
                <w:color w:val="000000"/>
                <w:sz w:val="22"/>
              </w:rPr>
              <w:t>、</w:t>
            </w:r>
            <w:r>
              <w:rPr>
                <w:rFonts w:hint="eastAsia"/>
                <w:color w:val="000000"/>
                <w:sz w:val="22"/>
              </w:rPr>
              <w:t>003134</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易方达裕鑫债券型证券投资基金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003214</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易方达富惠纯债债券型证券投资基金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003293</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易方达科瑞灵活配置混合型证券投资基金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003358</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易方达中债</w:t>
            </w:r>
            <w:r>
              <w:rPr>
                <w:rFonts w:hint="eastAsia"/>
                <w:color w:val="000000"/>
                <w:sz w:val="22"/>
              </w:rPr>
              <w:t>7-10</w:t>
            </w:r>
            <w:r>
              <w:rPr>
                <w:rFonts w:hint="eastAsia"/>
                <w:color w:val="000000"/>
                <w:sz w:val="22"/>
              </w:rPr>
              <w:t>年期国开行债券指数证券投资基金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003524</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易方达深证成指交易型开放式指数证券投资基金联接基金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003839</w:t>
            </w:r>
            <w:r>
              <w:rPr>
                <w:rFonts w:hint="eastAsia"/>
                <w:color w:val="000000"/>
                <w:sz w:val="22"/>
              </w:rPr>
              <w:t>、</w:t>
            </w:r>
            <w:r>
              <w:rPr>
                <w:rFonts w:hint="eastAsia"/>
                <w:color w:val="000000"/>
                <w:sz w:val="22"/>
              </w:rPr>
              <w:t>003840</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易方达瑞通灵活配置混合型证券投资基金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003882</w:t>
            </w:r>
            <w:r>
              <w:rPr>
                <w:rFonts w:hint="eastAsia"/>
                <w:color w:val="000000"/>
                <w:sz w:val="22"/>
              </w:rPr>
              <w:t>、</w:t>
            </w:r>
            <w:r>
              <w:rPr>
                <w:rFonts w:hint="eastAsia"/>
                <w:color w:val="000000"/>
                <w:sz w:val="22"/>
              </w:rPr>
              <w:t>003883</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易方达瑞弘灵活配置混合型证券投资基金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003961</w:t>
            </w:r>
            <w:r>
              <w:rPr>
                <w:rFonts w:hint="eastAsia"/>
                <w:color w:val="000000"/>
                <w:sz w:val="22"/>
              </w:rPr>
              <w:t>、</w:t>
            </w:r>
            <w:r>
              <w:rPr>
                <w:rFonts w:hint="eastAsia"/>
                <w:color w:val="000000"/>
                <w:sz w:val="22"/>
              </w:rPr>
              <w:t>003962</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易方达瑞程灵活配置混合型证券投资基金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110002</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易方达策略成长证券投资基金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110005</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易方达积极成长证券投资基金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110010</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易方达价值成长混合型证券投资基金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110012</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易方达科汇灵活配置混合型证券投资基金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110015</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易方达行业领先企业混合型证券投资基金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110019</w:t>
            </w:r>
            <w:r>
              <w:rPr>
                <w:rFonts w:hint="eastAsia"/>
                <w:color w:val="000000"/>
                <w:sz w:val="22"/>
              </w:rPr>
              <w:t>、</w:t>
            </w:r>
            <w:r>
              <w:rPr>
                <w:rFonts w:hint="eastAsia"/>
                <w:color w:val="000000"/>
                <w:sz w:val="22"/>
              </w:rPr>
              <w:t>004742</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易方达深证</w:t>
            </w:r>
            <w:r>
              <w:rPr>
                <w:rFonts w:hint="eastAsia"/>
                <w:color w:val="000000"/>
                <w:sz w:val="22"/>
              </w:rPr>
              <w:t>100</w:t>
            </w:r>
            <w:r>
              <w:rPr>
                <w:rFonts w:hint="eastAsia"/>
                <w:color w:val="000000"/>
                <w:sz w:val="22"/>
              </w:rPr>
              <w:t>交易型开放式指数证券投资基金联接基金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110020</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易方达沪深</w:t>
            </w:r>
            <w:r>
              <w:rPr>
                <w:rFonts w:hint="eastAsia"/>
                <w:color w:val="000000"/>
                <w:sz w:val="22"/>
              </w:rPr>
              <w:t>300</w:t>
            </w:r>
            <w:r>
              <w:rPr>
                <w:rFonts w:hint="eastAsia"/>
                <w:color w:val="000000"/>
                <w:sz w:val="22"/>
              </w:rPr>
              <w:t>交易型开放式指数发起式证券投资基金联接基金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110021</w:t>
            </w:r>
            <w:r>
              <w:rPr>
                <w:rFonts w:hint="eastAsia"/>
                <w:color w:val="000000"/>
                <w:sz w:val="22"/>
              </w:rPr>
              <w:t>、</w:t>
            </w:r>
            <w:r>
              <w:rPr>
                <w:rFonts w:hint="eastAsia"/>
                <w:color w:val="000000"/>
                <w:sz w:val="22"/>
              </w:rPr>
              <w:t>004743</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易方达上证中盘交易型开放式指数证券投资基金联接基金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110022</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易方达消费行业股票型证券投资基金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110023</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易方达医疗保健行业混合型证券投资基金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110025</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易方达资源行业混合型证券投资基金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110026</w:t>
            </w:r>
            <w:r>
              <w:rPr>
                <w:rFonts w:hint="eastAsia"/>
                <w:color w:val="000000"/>
                <w:sz w:val="22"/>
              </w:rPr>
              <w:t>、</w:t>
            </w:r>
            <w:r>
              <w:rPr>
                <w:rFonts w:hint="eastAsia"/>
                <w:color w:val="000000"/>
                <w:sz w:val="22"/>
              </w:rPr>
              <w:t>004744</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易方达创业板交易型开放式指数证券投资基金联接基金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110030</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易方达沪深</w:t>
            </w:r>
            <w:r>
              <w:rPr>
                <w:rFonts w:hint="eastAsia"/>
                <w:color w:val="000000"/>
                <w:sz w:val="22"/>
              </w:rPr>
              <w:t>300</w:t>
            </w:r>
            <w:r>
              <w:rPr>
                <w:rFonts w:hint="eastAsia"/>
                <w:color w:val="000000"/>
                <w:sz w:val="22"/>
              </w:rPr>
              <w:t>量化增强证券投资基金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110031</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易方达恒生中国企业交易型开放式指数证券投资基金联接基金人民币</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110035</w:t>
            </w:r>
            <w:r>
              <w:rPr>
                <w:rFonts w:hint="eastAsia"/>
                <w:color w:val="000000"/>
                <w:sz w:val="22"/>
              </w:rPr>
              <w:t>、</w:t>
            </w:r>
            <w:r>
              <w:rPr>
                <w:rFonts w:hint="eastAsia"/>
                <w:color w:val="000000"/>
                <w:sz w:val="22"/>
              </w:rPr>
              <w:t>110036</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易方达双债增强债券型证券投资基金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110037</w:t>
            </w:r>
            <w:r>
              <w:rPr>
                <w:rFonts w:hint="eastAsia"/>
                <w:color w:val="000000"/>
                <w:sz w:val="22"/>
              </w:rPr>
              <w:t>、</w:t>
            </w:r>
            <w:r>
              <w:rPr>
                <w:rFonts w:hint="eastAsia"/>
                <w:color w:val="000000"/>
                <w:sz w:val="22"/>
              </w:rPr>
              <w:t>110038</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易方达纯债债券型证券投资基金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110050</w:t>
            </w:r>
            <w:r>
              <w:rPr>
                <w:rFonts w:hint="eastAsia"/>
                <w:color w:val="000000"/>
                <w:sz w:val="22"/>
              </w:rPr>
              <w:t>、</w:t>
            </w:r>
            <w:r>
              <w:rPr>
                <w:rFonts w:hint="eastAsia"/>
                <w:color w:val="000000"/>
                <w:sz w:val="22"/>
              </w:rPr>
              <w:t>005101</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易方达月月利理财债券型证券投资基金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110052</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易方达双月利理财债券型证券投资基金</w:t>
            </w:r>
            <w:r>
              <w:rPr>
                <w:rFonts w:hint="eastAsia"/>
                <w:color w:val="000000"/>
                <w:sz w:val="22"/>
              </w:rPr>
              <w:t>A</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112002</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易方达策略成长二号混合型证券投资基金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118001</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易方达亚洲精选股票型证券投资基金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118002</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易方达标普全球高端消费品指数增强型证券投资基金人民币</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161115</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易方达岁丰添利债券型证券投资基金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161116</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易方达黄金主题证券投资基金（</w:t>
            </w:r>
            <w:r>
              <w:rPr>
                <w:rFonts w:hint="eastAsia"/>
                <w:color w:val="000000"/>
                <w:sz w:val="22"/>
              </w:rPr>
              <w:t>LOF</w:t>
            </w:r>
            <w:r>
              <w:rPr>
                <w:rFonts w:hint="eastAsia"/>
                <w:color w:val="000000"/>
                <w:sz w:val="22"/>
              </w:rPr>
              <w:t>）</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161117</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易方达永旭添利定期开放债券型证券投资基金</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lastRenderedPageBreak/>
              <w:t>161118</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易方达中小板指数分级证券投资基金基础份额</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161119</w:t>
            </w:r>
            <w:r>
              <w:rPr>
                <w:rFonts w:hint="eastAsia"/>
                <w:color w:val="000000"/>
                <w:sz w:val="22"/>
              </w:rPr>
              <w:t>、</w:t>
            </w:r>
            <w:r>
              <w:rPr>
                <w:rFonts w:hint="eastAsia"/>
                <w:color w:val="000000"/>
                <w:sz w:val="22"/>
              </w:rPr>
              <w:t>161120</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易方达中债新综合债券指数发起式证券投资基金（</w:t>
            </w:r>
            <w:r>
              <w:rPr>
                <w:rFonts w:hint="eastAsia"/>
                <w:color w:val="000000"/>
                <w:sz w:val="22"/>
              </w:rPr>
              <w:t>LOF</w:t>
            </w:r>
            <w:r>
              <w:rPr>
                <w:rFonts w:hint="eastAsia"/>
                <w:color w:val="000000"/>
                <w:sz w:val="22"/>
              </w:rPr>
              <w:t>）</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161121</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易方达银行指数分级证券投资基金基础份额</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161122</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易方达生物科技指数分级证券投资基金基础份额</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161123</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易方达并购重组指数分级证券投资基金基础份额</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161124</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易方达香港恒生综合小型股指数证券投资基金（</w:t>
            </w:r>
            <w:r>
              <w:rPr>
                <w:rFonts w:hint="eastAsia"/>
                <w:color w:val="000000"/>
                <w:sz w:val="22"/>
              </w:rPr>
              <w:t>LOF</w:t>
            </w:r>
            <w:r>
              <w:rPr>
                <w:rFonts w:hint="eastAsia"/>
                <w:color w:val="000000"/>
                <w:sz w:val="22"/>
              </w:rPr>
              <w:t>）</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161125</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易方达标普</w:t>
            </w:r>
            <w:r>
              <w:rPr>
                <w:rFonts w:hint="eastAsia"/>
                <w:color w:val="000000"/>
                <w:sz w:val="22"/>
              </w:rPr>
              <w:t>500</w:t>
            </w:r>
            <w:r>
              <w:rPr>
                <w:rFonts w:hint="eastAsia"/>
                <w:color w:val="000000"/>
                <w:sz w:val="22"/>
              </w:rPr>
              <w:t>指数证券投资基金（</w:t>
            </w:r>
            <w:r>
              <w:rPr>
                <w:rFonts w:hint="eastAsia"/>
                <w:color w:val="000000"/>
                <w:sz w:val="22"/>
              </w:rPr>
              <w:t>LOF</w:t>
            </w:r>
            <w:r>
              <w:rPr>
                <w:rFonts w:hint="eastAsia"/>
                <w:color w:val="000000"/>
                <w:sz w:val="22"/>
              </w:rPr>
              <w:t>）人民币</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161126</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易方达标普医疗保健指数证券投资基金（</w:t>
            </w:r>
            <w:r>
              <w:rPr>
                <w:rFonts w:hint="eastAsia"/>
                <w:color w:val="000000"/>
                <w:sz w:val="22"/>
              </w:rPr>
              <w:t>LOF</w:t>
            </w:r>
            <w:r>
              <w:rPr>
                <w:rFonts w:hint="eastAsia"/>
                <w:color w:val="000000"/>
                <w:sz w:val="22"/>
              </w:rPr>
              <w:t>）人民币</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161127</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易方达标普生物科技指数证券投资基金（</w:t>
            </w:r>
            <w:r>
              <w:rPr>
                <w:rFonts w:hint="eastAsia"/>
                <w:color w:val="000000"/>
                <w:sz w:val="22"/>
              </w:rPr>
              <w:t>LOF</w:t>
            </w:r>
            <w:r>
              <w:rPr>
                <w:rFonts w:hint="eastAsia"/>
                <w:color w:val="000000"/>
                <w:sz w:val="22"/>
              </w:rPr>
              <w:t>）人民币</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161128</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易方达标普信息科技指数证券投资基金（</w:t>
            </w:r>
            <w:r>
              <w:rPr>
                <w:rFonts w:hint="eastAsia"/>
                <w:color w:val="000000"/>
                <w:sz w:val="22"/>
              </w:rPr>
              <w:t>LOF</w:t>
            </w:r>
            <w:r>
              <w:rPr>
                <w:rFonts w:hint="eastAsia"/>
                <w:color w:val="000000"/>
                <w:sz w:val="22"/>
              </w:rPr>
              <w:t>）人民币</w:t>
            </w:r>
          </w:p>
        </w:tc>
      </w:tr>
      <w:tr w:rsidR="00E43D27"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tcPr>
          <w:p w:rsidR="00E43D27" w:rsidRDefault="00E43D27" w:rsidP="00E43D27">
            <w:pPr>
              <w:widowControl/>
              <w:spacing w:afterLines="0"/>
              <w:jc w:val="left"/>
              <w:rPr>
                <w:color w:val="000000"/>
                <w:sz w:val="22"/>
              </w:rPr>
            </w:pPr>
            <w:r>
              <w:rPr>
                <w:rFonts w:hint="eastAsia"/>
                <w:color w:val="000000"/>
                <w:sz w:val="22"/>
              </w:rPr>
              <w:t>161129</w:t>
            </w:r>
            <w:r>
              <w:rPr>
                <w:rFonts w:hint="eastAsia"/>
                <w:color w:val="000000"/>
                <w:sz w:val="22"/>
              </w:rPr>
              <w:t>、</w:t>
            </w:r>
            <w:r>
              <w:rPr>
                <w:rFonts w:hint="eastAsia"/>
                <w:color w:val="000000"/>
                <w:sz w:val="22"/>
              </w:rPr>
              <w:t>003321</w:t>
            </w:r>
          </w:p>
        </w:tc>
        <w:tc>
          <w:tcPr>
            <w:tcW w:w="7460" w:type="dxa"/>
            <w:tcBorders>
              <w:top w:val="nil"/>
              <w:left w:val="nil"/>
              <w:bottom w:val="single" w:sz="4" w:space="0" w:color="auto"/>
              <w:right w:val="single" w:sz="4" w:space="0" w:color="auto"/>
            </w:tcBorders>
            <w:shd w:val="clear" w:color="auto" w:fill="auto"/>
            <w:noWrap/>
          </w:tcPr>
          <w:p w:rsidR="00E43D27" w:rsidRDefault="00E43D27" w:rsidP="00E43D27">
            <w:pPr>
              <w:widowControl/>
              <w:spacing w:afterLines="0"/>
              <w:jc w:val="left"/>
              <w:rPr>
                <w:color w:val="000000"/>
                <w:sz w:val="22"/>
              </w:rPr>
            </w:pPr>
            <w:r>
              <w:rPr>
                <w:rFonts w:hint="eastAsia"/>
                <w:color w:val="000000"/>
                <w:sz w:val="22"/>
              </w:rPr>
              <w:t>易方达原油证券投资基金（</w:t>
            </w:r>
            <w:r>
              <w:rPr>
                <w:rFonts w:hint="eastAsia"/>
                <w:color w:val="000000"/>
                <w:sz w:val="22"/>
              </w:rPr>
              <w:t>QDII</w:t>
            </w:r>
            <w:r>
              <w:rPr>
                <w:rFonts w:hint="eastAsia"/>
                <w:color w:val="000000"/>
                <w:sz w:val="22"/>
              </w:rPr>
              <w:t>）</w:t>
            </w:r>
            <w:r>
              <w:rPr>
                <w:rFonts w:hint="eastAsia"/>
                <w:color w:val="000000"/>
                <w:sz w:val="22"/>
              </w:rPr>
              <w:t>A</w:t>
            </w:r>
            <w:r>
              <w:rPr>
                <w:rFonts w:hint="eastAsia"/>
                <w:color w:val="000000"/>
                <w:sz w:val="22"/>
              </w:rPr>
              <w:t>类人民币、</w:t>
            </w:r>
            <w:r>
              <w:rPr>
                <w:rFonts w:hint="eastAsia"/>
                <w:color w:val="000000"/>
                <w:sz w:val="22"/>
              </w:rPr>
              <w:t>C</w:t>
            </w:r>
            <w:r>
              <w:rPr>
                <w:rFonts w:hint="eastAsia"/>
                <w:color w:val="000000"/>
                <w:sz w:val="22"/>
              </w:rPr>
              <w:t>类人民币</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161130</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易方达纳斯达克</w:t>
            </w:r>
            <w:r>
              <w:rPr>
                <w:rFonts w:hint="eastAsia"/>
                <w:color w:val="000000"/>
                <w:sz w:val="22"/>
              </w:rPr>
              <w:t>100</w:t>
            </w:r>
            <w:r>
              <w:rPr>
                <w:rFonts w:hint="eastAsia"/>
                <w:color w:val="000000"/>
                <w:sz w:val="22"/>
              </w:rPr>
              <w:t>指数证券投资基金（</w:t>
            </w:r>
            <w:r>
              <w:rPr>
                <w:rFonts w:hint="eastAsia"/>
                <w:color w:val="000000"/>
                <w:sz w:val="22"/>
              </w:rPr>
              <w:t>LOF</w:t>
            </w:r>
            <w:r>
              <w:rPr>
                <w:rFonts w:hint="eastAsia"/>
                <w:color w:val="000000"/>
                <w:sz w:val="22"/>
              </w:rPr>
              <w:t>）人民币</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502003</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易方达军工指数分级证券投资基金基础份额</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502006</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易方达国企改革指数分级证券投资基金基础份额</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502010</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易方达证券公司指数分级证券投资基金基础份额</w:t>
            </w:r>
          </w:p>
        </w:tc>
      </w:tr>
      <w:tr w:rsidR="00D1556F" w:rsidRPr="004B20B8" w:rsidTr="004B20B8">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502048</w:t>
            </w:r>
          </w:p>
        </w:tc>
        <w:tc>
          <w:tcPr>
            <w:tcW w:w="7460" w:type="dxa"/>
            <w:tcBorders>
              <w:top w:val="nil"/>
              <w:left w:val="nil"/>
              <w:bottom w:val="single" w:sz="4" w:space="0" w:color="auto"/>
              <w:right w:val="single" w:sz="4" w:space="0" w:color="auto"/>
            </w:tcBorders>
            <w:shd w:val="clear" w:color="auto" w:fill="auto"/>
            <w:noWrap/>
            <w:hideMark/>
          </w:tcPr>
          <w:p w:rsidR="00D1556F" w:rsidRPr="004B20B8" w:rsidRDefault="00D1556F" w:rsidP="00D1556F">
            <w:pPr>
              <w:widowControl/>
              <w:spacing w:afterLines="0"/>
              <w:jc w:val="left"/>
              <w:rPr>
                <w:rFonts w:asciiTheme="minorEastAsia" w:hAnsiTheme="minorEastAsia" w:cs="宋体"/>
                <w:color w:val="000000"/>
                <w:kern w:val="0"/>
                <w:szCs w:val="21"/>
              </w:rPr>
            </w:pPr>
            <w:r>
              <w:rPr>
                <w:rFonts w:hint="eastAsia"/>
                <w:color w:val="000000"/>
                <w:sz w:val="22"/>
              </w:rPr>
              <w:t>易方达上证</w:t>
            </w:r>
            <w:r>
              <w:rPr>
                <w:rFonts w:hint="eastAsia"/>
                <w:color w:val="000000"/>
                <w:sz w:val="22"/>
              </w:rPr>
              <w:t>50</w:t>
            </w:r>
            <w:r>
              <w:rPr>
                <w:rFonts w:hint="eastAsia"/>
                <w:color w:val="000000"/>
                <w:sz w:val="22"/>
              </w:rPr>
              <w:t>指数分级证券投资基金基础份额</w:t>
            </w:r>
          </w:p>
        </w:tc>
      </w:tr>
    </w:tbl>
    <w:p w:rsidR="000A1A61" w:rsidRPr="007931BA" w:rsidRDefault="00B8258B" w:rsidP="00741B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line="360" w:lineRule="auto"/>
        <w:ind w:firstLineChars="200" w:firstLine="480"/>
        <w:rPr>
          <w:rFonts w:asciiTheme="minorEastAsia" w:hAnsiTheme="minorEastAsia" w:cs="宋体"/>
          <w:kern w:val="0"/>
          <w:sz w:val="24"/>
          <w:szCs w:val="24"/>
        </w:rPr>
      </w:pPr>
      <w:r w:rsidRPr="007931BA">
        <w:rPr>
          <w:rFonts w:asciiTheme="minorEastAsia" w:hAnsiTheme="minorEastAsia" w:cs="宋体" w:hint="eastAsia"/>
          <w:kern w:val="0"/>
          <w:sz w:val="24"/>
          <w:szCs w:val="24"/>
        </w:rPr>
        <w:t>（2）</w:t>
      </w:r>
      <w:r w:rsidR="00F94F93">
        <w:rPr>
          <w:rFonts w:asciiTheme="minorEastAsia" w:hAnsiTheme="minorEastAsia" w:cs="宋体" w:hint="eastAsia"/>
          <w:bCs/>
          <w:kern w:val="0"/>
          <w:sz w:val="24"/>
          <w:szCs w:val="24"/>
        </w:rPr>
        <w:t>调整</w:t>
      </w:r>
      <w:r w:rsidR="00BB4E0B">
        <w:rPr>
          <w:rFonts w:asciiTheme="minorEastAsia" w:hAnsiTheme="minorEastAsia" w:cs="宋体" w:hint="eastAsia"/>
          <w:kern w:val="0"/>
          <w:sz w:val="24"/>
          <w:szCs w:val="24"/>
        </w:rPr>
        <w:t>内容</w:t>
      </w:r>
    </w:p>
    <w:p w:rsidR="000A1A61" w:rsidRPr="007931BA" w:rsidRDefault="00FB3E59" w:rsidP="00741B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line="360" w:lineRule="auto"/>
        <w:ind w:firstLineChars="200" w:firstLine="480"/>
        <w:contextualSpacing/>
        <w:rPr>
          <w:rFonts w:asciiTheme="minorEastAsia" w:hAnsiTheme="minorEastAsia" w:cs="宋体"/>
          <w:kern w:val="0"/>
          <w:sz w:val="24"/>
          <w:szCs w:val="24"/>
        </w:rPr>
      </w:pPr>
      <w:r w:rsidRPr="007931BA">
        <w:rPr>
          <w:rFonts w:asciiTheme="minorEastAsia" w:hAnsiTheme="minorEastAsia" w:hint="eastAsia"/>
          <w:sz w:val="24"/>
          <w:szCs w:val="24"/>
        </w:rPr>
        <w:t>调整后，</w:t>
      </w:r>
      <w:r w:rsidR="008C56F3" w:rsidRPr="007931BA">
        <w:rPr>
          <w:rFonts w:asciiTheme="minorEastAsia" w:hAnsiTheme="minorEastAsia" w:cs="宋体" w:hint="eastAsia"/>
          <w:kern w:val="0"/>
          <w:sz w:val="24"/>
          <w:szCs w:val="24"/>
        </w:rPr>
        <w:t>投资者通过非直销销售机构或本公司网上交易系统首次申购和追加申购上述基金，单笔最低限额均下调至人民币</w:t>
      </w:r>
      <w:r w:rsidR="006A779F" w:rsidRPr="007931BA">
        <w:rPr>
          <w:rFonts w:asciiTheme="minorEastAsia" w:hAnsiTheme="minorEastAsia" w:cs="宋体"/>
          <w:kern w:val="0"/>
          <w:sz w:val="24"/>
          <w:szCs w:val="24"/>
        </w:rPr>
        <w:t>1</w:t>
      </w:r>
      <w:r w:rsidR="008C56F3" w:rsidRPr="007931BA">
        <w:rPr>
          <w:rFonts w:asciiTheme="minorEastAsia" w:hAnsiTheme="minorEastAsia" w:cs="宋体" w:hint="eastAsia"/>
          <w:kern w:val="0"/>
          <w:sz w:val="24"/>
          <w:szCs w:val="24"/>
        </w:rPr>
        <w:t>元。</w:t>
      </w:r>
    </w:p>
    <w:p w:rsidR="000A1A61" w:rsidRPr="007931BA" w:rsidRDefault="00277414" w:rsidP="00741B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line="360" w:lineRule="auto"/>
        <w:ind w:firstLineChars="200" w:firstLine="480"/>
        <w:contextualSpacing/>
        <w:rPr>
          <w:rFonts w:asciiTheme="minorEastAsia" w:hAnsiTheme="minorEastAsia"/>
          <w:sz w:val="24"/>
          <w:szCs w:val="24"/>
        </w:rPr>
      </w:pPr>
      <w:r w:rsidRPr="007931BA">
        <w:rPr>
          <w:rFonts w:asciiTheme="minorEastAsia" w:hAnsiTheme="minorEastAsia" w:hint="eastAsia"/>
          <w:sz w:val="24"/>
          <w:szCs w:val="24"/>
        </w:rPr>
        <w:t>其中，投资者场内申购</w:t>
      </w:r>
      <w:r w:rsidR="00914CAF" w:rsidRPr="00914CAF">
        <w:rPr>
          <w:rFonts w:asciiTheme="minorEastAsia" w:hAnsiTheme="minorEastAsia" w:hint="eastAsia"/>
          <w:sz w:val="24"/>
          <w:szCs w:val="24"/>
        </w:rPr>
        <w:t>易方达岁丰添利债券型证券投资基金</w:t>
      </w:r>
      <w:r w:rsidRPr="007931BA">
        <w:rPr>
          <w:rFonts w:asciiTheme="minorEastAsia" w:hAnsiTheme="minorEastAsia" w:hint="eastAsia"/>
          <w:sz w:val="24"/>
          <w:szCs w:val="24"/>
        </w:rPr>
        <w:t>、</w:t>
      </w:r>
      <w:r w:rsidR="00914CAF" w:rsidRPr="00914CAF">
        <w:rPr>
          <w:rFonts w:asciiTheme="minorEastAsia" w:hAnsiTheme="minorEastAsia" w:hint="eastAsia"/>
          <w:sz w:val="24"/>
          <w:szCs w:val="24"/>
        </w:rPr>
        <w:t>易方达黄金主题证券投资基金（LOF）</w:t>
      </w:r>
      <w:r w:rsidR="00914CAF">
        <w:rPr>
          <w:rFonts w:asciiTheme="minorEastAsia" w:hAnsiTheme="minorEastAsia" w:hint="eastAsia"/>
          <w:sz w:val="24"/>
          <w:szCs w:val="24"/>
        </w:rPr>
        <w:t>、</w:t>
      </w:r>
      <w:r w:rsidR="00914CAF" w:rsidRPr="00914CAF">
        <w:rPr>
          <w:rFonts w:asciiTheme="minorEastAsia" w:hAnsiTheme="minorEastAsia" w:hint="eastAsia"/>
          <w:sz w:val="24"/>
          <w:szCs w:val="24"/>
        </w:rPr>
        <w:t>易方达永旭添利定期开放债券型证券投资基金</w:t>
      </w:r>
      <w:r w:rsidRPr="007931BA">
        <w:rPr>
          <w:rFonts w:asciiTheme="minorEastAsia" w:hAnsiTheme="minorEastAsia" w:hint="eastAsia"/>
          <w:sz w:val="24"/>
          <w:szCs w:val="24"/>
        </w:rPr>
        <w:t>、</w:t>
      </w:r>
      <w:r w:rsidR="00914CAF" w:rsidRPr="00914CAF">
        <w:rPr>
          <w:rFonts w:asciiTheme="minorEastAsia" w:hAnsiTheme="minorEastAsia" w:hint="eastAsia"/>
          <w:sz w:val="24"/>
          <w:szCs w:val="24"/>
        </w:rPr>
        <w:t>易方达中债新综合债券指数发起式证券投资基金（LOF）A类</w:t>
      </w:r>
      <w:r w:rsidR="00B54989">
        <w:rPr>
          <w:rFonts w:asciiTheme="minorEastAsia" w:hAnsiTheme="minorEastAsia" w:hint="eastAsia"/>
          <w:sz w:val="24"/>
          <w:szCs w:val="24"/>
        </w:rPr>
        <w:t>、</w:t>
      </w:r>
      <w:r w:rsidR="00914CAF" w:rsidRPr="00914CAF">
        <w:rPr>
          <w:rFonts w:asciiTheme="minorEastAsia" w:hAnsiTheme="minorEastAsia" w:hint="eastAsia"/>
          <w:sz w:val="24"/>
          <w:szCs w:val="24"/>
        </w:rPr>
        <w:t>易方达香港恒生综合小型股指数证券投资基金（LOF）</w:t>
      </w:r>
      <w:r w:rsidR="00914CAF">
        <w:rPr>
          <w:rFonts w:asciiTheme="minorEastAsia" w:hAnsiTheme="minorEastAsia" w:hint="eastAsia"/>
          <w:sz w:val="24"/>
          <w:szCs w:val="24"/>
        </w:rPr>
        <w:t>、</w:t>
      </w:r>
      <w:r w:rsidR="00914CAF" w:rsidRPr="00914CAF">
        <w:rPr>
          <w:rFonts w:asciiTheme="minorEastAsia" w:hAnsiTheme="minorEastAsia" w:hint="eastAsia"/>
          <w:sz w:val="24"/>
          <w:szCs w:val="24"/>
        </w:rPr>
        <w:t>易方达标普500指数证券投资基金（LOF）人民币、易方达标普医疗保健指数证券投资基金（LOF）人民币、易方达标普生物科技指数证券投资基金（LOF）人民币、易方达标普信息科技指数证券投资基金（LOF）</w:t>
      </w:r>
      <w:r w:rsidR="00E43D27" w:rsidRPr="00914CAF">
        <w:rPr>
          <w:rFonts w:asciiTheme="minorEastAsia" w:hAnsiTheme="minorEastAsia" w:hint="eastAsia"/>
          <w:sz w:val="24"/>
          <w:szCs w:val="24"/>
        </w:rPr>
        <w:t>人民币</w:t>
      </w:r>
      <w:r w:rsidR="00E43D27">
        <w:rPr>
          <w:rFonts w:asciiTheme="minorEastAsia" w:hAnsiTheme="minorEastAsia" w:hint="eastAsia"/>
          <w:sz w:val="24"/>
          <w:szCs w:val="24"/>
        </w:rPr>
        <w:t>、</w:t>
      </w:r>
      <w:r w:rsidR="00E43D27" w:rsidRPr="00E41C92">
        <w:rPr>
          <w:rFonts w:asciiTheme="minorEastAsia" w:hAnsiTheme="minorEastAsia" w:hint="eastAsia"/>
          <w:sz w:val="24"/>
          <w:szCs w:val="24"/>
        </w:rPr>
        <w:t>易方达原油证券投资基金（QDII）A类人民币和</w:t>
      </w:r>
      <w:r w:rsidR="00E43D27" w:rsidRPr="00914CAF">
        <w:rPr>
          <w:rFonts w:asciiTheme="minorEastAsia" w:hAnsiTheme="minorEastAsia" w:hint="eastAsia"/>
          <w:sz w:val="24"/>
          <w:szCs w:val="24"/>
        </w:rPr>
        <w:t>易方达纳斯达克</w:t>
      </w:r>
      <w:r w:rsidR="00914CAF" w:rsidRPr="00914CAF">
        <w:rPr>
          <w:rFonts w:asciiTheme="minorEastAsia" w:hAnsiTheme="minorEastAsia" w:hint="eastAsia"/>
          <w:sz w:val="24"/>
          <w:szCs w:val="24"/>
        </w:rPr>
        <w:t>100指数证券投资基金（LOF）人民币</w:t>
      </w:r>
      <w:r w:rsidRPr="007931BA">
        <w:rPr>
          <w:rFonts w:asciiTheme="minorEastAsia" w:hAnsiTheme="minorEastAsia" w:hint="eastAsia"/>
          <w:sz w:val="24"/>
          <w:szCs w:val="24"/>
        </w:rPr>
        <w:t>时，申购金额</w:t>
      </w:r>
      <w:r w:rsidR="003F0037" w:rsidRPr="007931BA">
        <w:rPr>
          <w:rFonts w:asciiTheme="minorEastAsia" w:hAnsiTheme="minorEastAsia" w:hint="eastAsia"/>
          <w:sz w:val="24"/>
          <w:szCs w:val="24"/>
        </w:rPr>
        <w:t>同时</w:t>
      </w:r>
      <w:r w:rsidRPr="007931BA">
        <w:rPr>
          <w:rFonts w:asciiTheme="minorEastAsia" w:hAnsiTheme="minorEastAsia" w:hint="eastAsia"/>
          <w:sz w:val="24"/>
          <w:szCs w:val="24"/>
        </w:rPr>
        <w:t>必须是整数金额。</w:t>
      </w:r>
    </w:p>
    <w:p w:rsidR="000A1A61" w:rsidRPr="007931BA" w:rsidRDefault="009A3DAE" w:rsidP="00741B36">
      <w:pPr>
        <w:widowControl/>
        <w:spacing w:afterLines="0" w:line="360" w:lineRule="auto"/>
        <w:ind w:firstLineChars="200" w:firstLine="480"/>
        <w:contextualSpacing/>
        <w:rPr>
          <w:rFonts w:asciiTheme="minorEastAsia" w:hAnsiTheme="minorEastAsia" w:cs="宋体"/>
          <w:kern w:val="0"/>
          <w:sz w:val="24"/>
          <w:szCs w:val="24"/>
        </w:rPr>
      </w:pPr>
      <w:r w:rsidRPr="007931BA">
        <w:rPr>
          <w:rFonts w:asciiTheme="minorEastAsia" w:hAnsiTheme="minorEastAsia" w:cs="宋体" w:hint="eastAsia"/>
          <w:kern w:val="0"/>
          <w:sz w:val="24"/>
          <w:szCs w:val="24"/>
        </w:rPr>
        <w:t>投资者场内申购</w:t>
      </w:r>
      <w:r w:rsidR="00B54989" w:rsidRPr="00B54989">
        <w:rPr>
          <w:rFonts w:asciiTheme="minorEastAsia" w:hAnsiTheme="minorEastAsia" w:cs="宋体" w:hint="eastAsia"/>
          <w:kern w:val="0"/>
          <w:sz w:val="24"/>
          <w:szCs w:val="24"/>
        </w:rPr>
        <w:t>易方达中小板指数分级证券投资基金基础份额</w:t>
      </w:r>
      <w:r w:rsidR="00B54989">
        <w:rPr>
          <w:rFonts w:asciiTheme="minorEastAsia" w:hAnsiTheme="minorEastAsia" w:cs="宋体" w:hint="eastAsia"/>
          <w:kern w:val="0"/>
          <w:sz w:val="24"/>
          <w:szCs w:val="24"/>
        </w:rPr>
        <w:t>、</w:t>
      </w:r>
      <w:r w:rsidR="007C4C8A" w:rsidRPr="007931BA">
        <w:rPr>
          <w:rFonts w:asciiTheme="minorEastAsia" w:hAnsiTheme="minorEastAsia" w:cs="宋体" w:hint="eastAsia"/>
          <w:kern w:val="0"/>
          <w:sz w:val="24"/>
          <w:szCs w:val="24"/>
        </w:rPr>
        <w:t>易方达银行指数分级证券投资基金基础份额、易方达生物科技指数分级证券投资基金基础份额、易方达并购重组指数分级证券投资基金基础份额、易方达军工指数分级证券投资基金基础份额、</w:t>
      </w:r>
      <w:r w:rsidR="00914CAF" w:rsidRPr="007931BA">
        <w:rPr>
          <w:rFonts w:asciiTheme="minorEastAsia" w:hAnsiTheme="minorEastAsia" w:cs="宋体" w:hint="eastAsia"/>
          <w:kern w:val="0"/>
          <w:sz w:val="24"/>
          <w:szCs w:val="24"/>
        </w:rPr>
        <w:t>易方达国企改革指数分级证券投资基金基础份额</w:t>
      </w:r>
      <w:r w:rsidR="00914CAF">
        <w:rPr>
          <w:rFonts w:asciiTheme="minorEastAsia" w:hAnsiTheme="minorEastAsia" w:cs="宋体" w:hint="eastAsia"/>
          <w:kern w:val="0"/>
          <w:sz w:val="24"/>
          <w:szCs w:val="24"/>
        </w:rPr>
        <w:t>、</w:t>
      </w:r>
      <w:r w:rsidR="00914CAF" w:rsidRPr="007931BA">
        <w:rPr>
          <w:rFonts w:asciiTheme="minorEastAsia" w:hAnsiTheme="minorEastAsia" w:cs="宋体" w:hint="eastAsia"/>
          <w:kern w:val="0"/>
          <w:sz w:val="24"/>
          <w:szCs w:val="24"/>
        </w:rPr>
        <w:t>易方达证券公司指数分级证券投资基金基础份额</w:t>
      </w:r>
      <w:r w:rsidR="00914CAF">
        <w:rPr>
          <w:rFonts w:asciiTheme="minorEastAsia" w:hAnsiTheme="minorEastAsia" w:cs="宋体" w:hint="eastAsia"/>
          <w:kern w:val="0"/>
          <w:sz w:val="24"/>
          <w:szCs w:val="24"/>
        </w:rPr>
        <w:t>和</w:t>
      </w:r>
      <w:r w:rsidR="00914CAF" w:rsidRPr="00914CAF">
        <w:rPr>
          <w:rFonts w:asciiTheme="minorEastAsia" w:hAnsiTheme="minorEastAsia" w:cs="宋体" w:hint="eastAsia"/>
          <w:kern w:val="0"/>
          <w:sz w:val="24"/>
          <w:szCs w:val="24"/>
        </w:rPr>
        <w:t>易方达上证50指数分级证券投资基金基础份额</w:t>
      </w:r>
      <w:r w:rsidR="00914CAF" w:rsidRPr="007931BA">
        <w:rPr>
          <w:rFonts w:asciiTheme="minorEastAsia" w:hAnsiTheme="minorEastAsia" w:cs="宋体" w:hint="eastAsia"/>
          <w:kern w:val="0"/>
          <w:sz w:val="24"/>
          <w:szCs w:val="24"/>
        </w:rPr>
        <w:t>的单笔最低金额限制不进行调整</w:t>
      </w:r>
      <w:r w:rsidRPr="007931BA">
        <w:rPr>
          <w:rFonts w:asciiTheme="minorEastAsia" w:hAnsiTheme="minorEastAsia" w:cs="宋体" w:hint="eastAsia"/>
          <w:kern w:val="0"/>
          <w:sz w:val="24"/>
          <w:szCs w:val="24"/>
        </w:rPr>
        <w:t>。</w:t>
      </w:r>
    </w:p>
    <w:p w:rsidR="000A1A61" w:rsidRPr="007931BA" w:rsidRDefault="008C56F3" w:rsidP="00741B36">
      <w:pPr>
        <w:pStyle w:val="2"/>
        <w:spacing w:line="360" w:lineRule="auto"/>
        <w:ind w:firstLineChars="200" w:firstLine="480"/>
        <w:contextualSpacing/>
        <w:jc w:val="both"/>
        <w:rPr>
          <w:rFonts w:asciiTheme="minorEastAsia" w:eastAsiaTheme="minorEastAsia" w:hAnsiTheme="minorEastAsia"/>
        </w:rPr>
      </w:pPr>
      <w:r w:rsidRPr="007931BA">
        <w:rPr>
          <w:rFonts w:asciiTheme="minorEastAsia" w:eastAsiaTheme="minorEastAsia" w:hAnsiTheme="minorEastAsia" w:hint="eastAsia"/>
        </w:rPr>
        <w:lastRenderedPageBreak/>
        <w:t>投资者通</w:t>
      </w:r>
      <w:r w:rsidR="000954A2" w:rsidRPr="007931BA">
        <w:rPr>
          <w:rFonts w:asciiTheme="minorEastAsia" w:eastAsiaTheme="minorEastAsia" w:hAnsiTheme="minorEastAsia" w:hint="eastAsia"/>
        </w:rPr>
        <w:t>过本公司直销中心首次申购和追加申购的单笔最低金额不进行调整。</w:t>
      </w:r>
    </w:p>
    <w:p w:rsidR="000A1A61" w:rsidRPr="007931BA" w:rsidRDefault="00914CAF" w:rsidP="00741B36">
      <w:pPr>
        <w:widowControl/>
        <w:spacing w:afterLines="0" w:line="360" w:lineRule="auto"/>
        <w:ind w:firstLineChars="200" w:firstLine="480"/>
        <w:contextualSpacing/>
        <w:rPr>
          <w:rFonts w:asciiTheme="minorEastAsia" w:hAnsiTheme="minorEastAsia" w:cs="宋体"/>
          <w:kern w:val="0"/>
          <w:sz w:val="24"/>
          <w:szCs w:val="24"/>
        </w:rPr>
      </w:pPr>
      <w:r w:rsidRPr="00BB4D3E">
        <w:rPr>
          <w:rFonts w:asciiTheme="minorEastAsia" w:hAnsiTheme="minorEastAsia" w:cs="宋体" w:hint="eastAsia"/>
          <w:bCs/>
          <w:kern w:val="0"/>
          <w:sz w:val="24"/>
          <w:szCs w:val="24"/>
        </w:rPr>
        <w:t>在符合法律法规规定的前提下，</w:t>
      </w:r>
      <w:r w:rsidR="000954A2" w:rsidRPr="007931BA">
        <w:rPr>
          <w:rFonts w:asciiTheme="minorEastAsia" w:hAnsiTheme="minorEastAsia" w:cs="宋体" w:hint="eastAsia"/>
          <w:kern w:val="0"/>
          <w:sz w:val="24"/>
          <w:szCs w:val="24"/>
        </w:rPr>
        <w:t>各销售机构可以根据自己的业务情况在上述最低金额限制基础上设置上述基金的最低申购金额及交易级差，投资者在销售机构办理基金申购业务时，需</w:t>
      </w:r>
      <w:r w:rsidR="00AE7EC1" w:rsidRPr="007931BA">
        <w:rPr>
          <w:rFonts w:asciiTheme="minorEastAsia" w:hAnsiTheme="minorEastAsia" w:cs="宋体" w:hint="eastAsia"/>
          <w:kern w:val="0"/>
          <w:sz w:val="24"/>
          <w:szCs w:val="24"/>
        </w:rPr>
        <w:t>同时</w:t>
      </w:r>
      <w:r w:rsidR="000954A2" w:rsidRPr="007931BA">
        <w:rPr>
          <w:rFonts w:asciiTheme="minorEastAsia" w:hAnsiTheme="minorEastAsia" w:cs="宋体" w:hint="eastAsia"/>
          <w:kern w:val="0"/>
          <w:sz w:val="24"/>
          <w:szCs w:val="24"/>
        </w:rPr>
        <w:t>遵循销售机构的相关</w:t>
      </w:r>
      <w:r w:rsidR="000D5D95" w:rsidRPr="007931BA">
        <w:rPr>
          <w:rFonts w:asciiTheme="minorEastAsia" w:hAnsiTheme="minorEastAsia" w:cs="宋体" w:hint="eastAsia"/>
          <w:kern w:val="0"/>
          <w:sz w:val="24"/>
          <w:szCs w:val="24"/>
        </w:rPr>
        <w:t>规定</w:t>
      </w:r>
      <w:r w:rsidR="000954A2" w:rsidRPr="007931BA">
        <w:rPr>
          <w:rFonts w:asciiTheme="minorEastAsia" w:hAnsiTheme="minorEastAsia" w:cs="宋体" w:hint="eastAsia"/>
          <w:kern w:val="0"/>
          <w:sz w:val="24"/>
          <w:szCs w:val="24"/>
        </w:rPr>
        <w:t>。</w:t>
      </w:r>
    </w:p>
    <w:p w:rsidR="00277414" w:rsidRPr="007931BA" w:rsidRDefault="008C56F3" w:rsidP="00741B36">
      <w:pPr>
        <w:pStyle w:val="Default"/>
        <w:spacing w:line="360" w:lineRule="auto"/>
        <w:ind w:firstLineChars="200" w:firstLine="480"/>
        <w:contextualSpacing/>
        <w:jc w:val="both"/>
        <w:rPr>
          <w:rFonts w:asciiTheme="minorEastAsia" w:eastAsiaTheme="minorEastAsia" w:hAnsiTheme="minorEastAsia"/>
          <w:color w:val="auto"/>
        </w:rPr>
      </w:pPr>
      <w:r w:rsidRPr="007931BA">
        <w:rPr>
          <w:rFonts w:asciiTheme="minorEastAsia" w:eastAsiaTheme="minorEastAsia" w:hAnsiTheme="minorEastAsia" w:hint="eastAsia"/>
          <w:color w:val="auto"/>
        </w:rPr>
        <w:t>2.</w:t>
      </w:r>
      <w:r w:rsidR="00F94F93">
        <w:rPr>
          <w:rFonts w:asciiTheme="minorEastAsia" w:hAnsiTheme="minorEastAsia" w:hint="eastAsia"/>
          <w:bCs/>
        </w:rPr>
        <w:t>调整</w:t>
      </w:r>
      <w:r w:rsidR="00F94F93" w:rsidRPr="0033190A">
        <w:rPr>
          <w:rFonts w:asciiTheme="minorEastAsia" w:hAnsiTheme="minorEastAsia" w:hint="eastAsia"/>
        </w:rPr>
        <w:t>赎回</w:t>
      </w:r>
      <w:r w:rsidR="00F94F93">
        <w:rPr>
          <w:rFonts w:asciiTheme="minorEastAsia" w:hAnsiTheme="minorEastAsia" w:hint="eastAsia"/>
        </w:rPr>
        <w:t>和</w:t>
      </w:r>
      <w:r w:rsidR="00F94F93">
        <w:rPr>
          <w:rFonts w:asciiTheme="minorEastAsia" w:hAnsiTheme="minorEastAsia"/>
        </w:rPr>
        <w:t>转换</w:t>
      </w:r>
      <w:r w:rsidR="00F94F93">
        <w:rPr>
          <w:rFonts w:asciiTheme="minorEastAsia" w:hAnsiTheme="minorEastAsia" w:hint="eastAsia"/>
        </w:rPr>
        <w:t>转出单笔</w:t>
      </w:r>
      <w:r w:rsidR="00F94F93">
        <w:rPr>
          <w:rFonts w:asciiTheme="minorEastAsia" w:hAnsiTheme="minorEastAsia"/>
        </w:rPr>
        <w:t>最低</w:t>
      </w:r>
      <w:r w:rsidR="00F94F93">
        <w:rPr>
          <w:rFonts w:asciiTheme="minorEastAsia" w:hAnsiTheme="minorEastAsia" w:hint="eastAsia"/>
        </w:rPr>
        <w:t>份额及最低持有份额</w:t>
      </w:r>
      <w:r w:rsidR="00F94F93" w:rsidRPr="0033190A">
        <w:rPr>
          <w:rFonts w:asciiTheme="minorEastAsia" w:hAnsiTheme="minorEastAsia" w:hint="eastAsia"/>
        </w:rPr>
        <w:t>的限制</w:t>
      </w:r>
    </w:p>
    <w:p w:rsidR="00257FAF" w:rsidRDefault="00B8258B" w:rsidP="00741B36">
      <w:pPr>
        <w:widowControl/>
        <w:spacing w:afterLines="0" w:line="360" w:lineRule="auto"/>
        <w:ind w:firstLineChars="200" w:firstLine="480"/>
        <w:contextualSpacing/>
        <w:rPr>
          <w:rFonts w:asciiTheme="minorEastAsia" w:hAnsiTheme="minorEastAsia" w:cs="宋体"/>
          <w:kern w:val="0"/>
          <w:szCs w:val="21"/>
        </w:rPr>
      </w:pPr>
      <w:r w:rsidRPr="007931BA">
        <w:rPr>
          <w:rFonts w:asciiTheme="minorEastAsia" w:hAnsiTheme="minorEastAsia" w:cs="宋体" w:hint="eastAsia"/>
          <w:kern w:val="0"/>
          <w:sz w:val="24"/>
          <w:szCs w:val="24"/>
        </w:rPr>
        <w:t>（1）适用基金</w:t>
      </w:r>
    </w:p>
    <w:tbl>
      <w:tblPr>
        <w:tblW w:w="9380" w:type="dxa"/>
        <w:tblInd w:w="113" w:type="dxa"/>
        <w:shd w:val="clear" w:color="auto" w:fill="FFFFFF" w:themeFill="background1"/>
        <w:tblLook w:val="04A0" w:firstRow="1" w:lastRow="0" w:firstColumn="1" w:lastColumn="0" w:noHBand="0" w:noVBand="1"/>
      </w:tblPr>
      <w:tblGrid>
        <w:gridCol w:w="1920"/>
        <w:gridCol w:w="7460"/>
      </w:tblGrid>
      <w:tr w:rsidR="00D1556F" w:rsidRPr="00E0214D" w:rsidTr="00D1556F">
        <w:trPr>
          <w:trHeight w:val="270"/>
        </w:trPr>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57FAF" w:rsidRPr="00E0214D" w:rsidRDefault="00257FAF" w:rsidP="00E0214D">
            <w:pPr>
              <w:widowControl/>
              <w:spacing w:afterLines="0" w:after="240"/>
              <w:rPr>
                <w:rFonts w:ascii="宋体" w:eastAsia="宋体" w:hAnsi="宋体" w:cs="宋体"/>
                <w:color w:val="000000"/>
                <w:kern w:val="0"/>
                <w:szCs w:val="21"/>
              </w:rPr>
            </w:pPr>
            <w:r w:rsidRPr="00E0214D">
              <w:rPr>
                <w:rFonts w:ascii="宋体" w:eastAsia="宋体" w:hAnsi="宋体" w:cs="宋体" w:hint="eastAsia"/>
                <w:color w:val="000000"/>
                <w:kern w:val="0"/>
                <w:szCs w:val="21"/>
              </w:rPr>
              <w:t>基金代码</w:t>
            </w:r>
          </w:p>
        </w:tc>
        <w:tc>
          <w:tcPr>
            <w:tcW w:w="74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57FAF" w:rsidRPr="00E0214D" w:rsidRDefault="00257FAF" w:rsidP="00E0214D">
            <w:pPr>
              <w:widowControl/>
              <w:spacing w:afterLines="0"/>
              <w:rPr>
                <w:rFonts w:ascii="宋体" w:eastAsia="宋体" w:hAnsi="宋体" w:cs="宋体"/>
                <w:color w:val="000000"/>
                <w:kern w:val="0"/>
                <w:szCs w:val="21"/>
              </w:rPr>
            </w:pPr>
            <w:r w:rsidRPr="00E0214D">
              <w:rPr>
                <w:rFonts w:ascii="宋体" w:eastAsia="宋体" w:hAnsi="宋体" w:cs="宋体" w:hint="eastAsia"/>
                <w:color w:val="000000"/>
                <w:kern w:val="0"/>
                <w:szCs w:val="21"/>
              </w:rPr>
              <w:t>基金全称</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000111</w:t>
            </w:r>
            <w:r>
              <w:rPr>
                <w:rFonts w:hint="eastAsia"/>
                <w:color w:val="000000"/>
                <w:sz w:val="22"/>
              </w:rPr>
              <w:t>、</w:t>
            </w:r>
            <w:r>
              <w:rPr>
                <w:rFonts w:hint="eastAsia"/>
                <w:color w:val="000000"/>
                <w:sz w:val="22"/>
              </w:rPr>
              <w:t>000112</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易方达纯债</w:t>
            </w:r>
            <w:r>
              <w:rPr>
                <w:rFonts w:hint="eastAsia"/>
                <w:color w:val="000000"/>
                <w:sz w:val="22"/>
              </w:rPr>
              <w:t>1</w:t>
            </w:r>
            <w:r>
              <w:rPr>
                <w:rFonts w:hint="eastAsia"/>
                <w:color w:val="000000"/>
                <w:sz w:val="22"/>
              </w:rPr>
              <w:t>年定期开放债券型证券投资基金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000147</w:t>
            </w:r>
            <w:r>
              <w:rPr>
                <w:rFonts w:hint="eastAsia"/>
                <w:color w:val="000000"/>
                <w:sz w:val="22"/>
              </w:rPr>
              <w:t>、</w:t>
            </w:r>
            <w:r>
              <w:rPr>
                <w:rFonts w:hint="eastAsia"/>
                <w:color w:val="000000"/>
                <w:sz w:val="22"/>
              </w:rPr>
              <w:t>000148</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易方达高等级信用债债券型证券投资基金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000171</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易方达裕丰回报债券型证券投资基金</w:t>
            </w:r>
          </w:p>
        </w:tc>
      </w:tr>
      <w:tr w:rsidR="00981B2C" w:rsidRPr="00E0214D" w:rsidTr="00981B2C">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000189</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易方达保本一号混合型证券投资基金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000265</w:t>
            </w:r>
            <w:r>
              <w:rPr>
                <w:rFonts w:hint="eastAsia"/>
                <w:color w:val="000000"/>
                <w:sz w:val="22"/>
              </w:rPr>
              <w:t>、</w:t>
            </w:r>
            <w:r>
              <w:rPr>
                <w:rFonts w:hint="eastAsia"/>
                <w:color w:val="000000"/>
                <w:sz w:val="22"/>
              </w:rPr>
              <w:t>000266</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易方达恒久添利</w:t>
            </w:r>
            <w:r>
              <w:rPr>
                <w:rFonts w:hint="eastAsia"/>
                <w:color w:val="000000"/>
                <w:sz w:val="22"/>
              </w:rPr>
              <w:t>1</w:t>
            </w:r>
            <w:r>
              <w:rPr>
                <w:rFonts w:hint="eastAsia"/>
                <w:color w:val="000000"/>
                <w:sz w:val="22"/>
              </w:rPr>
              <w:t>年定期开放债券型证券投资基金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000404</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易方达新兴成长灵活配置混合型证券投资基金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000436</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易方达裕惠回报定期开放式混合型发起式证券投资基金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000603</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易方达创新驱动灵活配置混合型证券投资基金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000950</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易方达沪深</w:t>
            </w:r>
            <w:r>
              <w:rPr>
                <w:rFonts w:hint="eastAsia"/>
                <w:color w:val="000000"/>
                <w:sz w:val="22"/>
              </w:rPr>
              <w:t>300</w:t>
            </w:r>
            <w:r>
              <w:rPr>
                <w:rFonts w:hint="eastAsia"/>
                <w:color w:val="000000"/>
                <w:sz w:val="22"/>
              </w:rPr>
              <w:t>非银行金融交易型开放式指数证券投资基金联接基金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001018</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易方达新经济灵活配置混合型证券投资基金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001076</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易方达改革红利混合型证券投资基金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001136</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易方达裕如灵活配置混合型证券投资基金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001182</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易方达安心回馈混合型证券投资基金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001184</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易方达新常态灵活配置混合型证券投资基金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001216</w:t>
            </w:r>
            <w:r>
              <w:rPr>
                <w:rFonts w:hint="eastAsia"/>
                <w:color w:val="000000"/>
                <w:sz w:val="22"/>
              </w:rPr>
              <w:t>、</w:t>
            </w:r>
            <w:r>
              <w:rPr>
                <w:rFonts w:hint="eastAsia"/>
                <w:color w:val="000000"/>
                <w:sz w:val="22"/>
              </w:rPr>
              <w:t>001217</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易方达新收益灵活配置混合型证券投资基金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001249</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易方达新利灵活配置混合型证券投资基金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001285</w:t>
            </w:r>
            <w:r>
              <w:rPr>
                <w:rFonts w:hint="eastAsia"/>
                <w:color w:val="000000"/>
                <w:sz w:val="22"/>
              </w:rPr>
              <w:t>、</w:t>
            </w:r>
            <w:r>
              <w:rPr>
                <w:rFonts w:hint="eastAsia"/>
                <w:color w:val="000000"/>
                <w:sz w:val="22"/>
              </w:rPr>
              <w:t>001286</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易方达新鑫灵活配置混合型证券投资基金</w:t>
            </w:r>
            <w:r>
              <w:rPr>
                <w:rFonts w:hint="eastAsia"/>
                <w:color w:val="000000"/>
                <w:sz w:val="22"/>
              </w:rPr>
              <w:t>I</w:t>
            </w:r>
            <w:r>
              <w:rPr>
                <w:rFonts w:hint="eastAsia"/>
                <w:color w:val="000000"/>
                <w:sz w:val="22"/>
              </w:rPr>
              <w:t>类、</w:t>
            </w:r>
            <w:r>
              <w:rPr>
                <w:rFonts w:hint="eastAsia"/>
                <w:color w:val="000000"/>
                <w:sz w:val="22"/>
              </w:rPr>
              <w:t>E</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001314</w:t>
            </w:r>
            <w:r>
              <w:rPr>
                <w:rFonts w:hint="eastAsia"/>
                <w:color w:val="000000"/>
                <w:sz w:val="22"/>
              </w:rPr>
              <w:t>、</w:t>
            </w:r>
            <w:r>
              <w:rPr>
                <w:rFonts w:hint="eastAsia"/>
                <w:color w:val="000000"/>
                <w:sz w:val="22"/>
              </w:rPr>
              <w:t>001315</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易方达新益灵活配置混合型证券投资基金</w:t>
            </w:r>
            <w:r>
              <w:rPr>
                <w:rFonts w:hint="eastAsia"/>
                <w:color w:val="000000"/>
                <w:sz w:val="22"/>
              </w:rPr>
              <w:t>I</w:t>
            </w:r>
            <w:r>
              <w:rPr>
                <w:rFonts w:hint="eastAsia"/>
                <w:color w:val="000000"/>
                <w:sz w:val="22"/>
              </w:rPr>
              <w:t>类、</w:t>
            </w:r>
            <w:r>
              <w:rPr>
                <w:rFonts w:hint="eastAsia"/>
                <w:color w:val="000000"/>
                <w:sz w:val="22"/>
              </w:rPr>
              <w:t>E</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001342</w:t>
            </w:r>
            <w:r>
              <w:rPr>
                <w:rFonts w:hint="eastAsia"/>
                <w:color w:val="000000"/>
                <w:sz w:val="22"/>
              </w:rPr>
              <w:t>、</w:t>
            </w:r>
            <w:r>
              <w:rPr>
                <w:rFonts w:hint="eastAsia"/>
                <w:color w:val="000000"/>
                <w:sz w:val="22"/>
              </w:rPr>
              <w:t>001343</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易方达新享灵活配置混合型证券投资基金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001373</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易方达新丝路灵活配置混合型证券投资基金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001382</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易方达国企改革混合型证券投资基金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001433</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易方达瑞景灵活配置混合型证券投资基金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001437</w:t>
            </w:r>
            <w:r>
              <w:rPr>
                <w:rFonts w:hint="eastAsia"/>
                <w:color w:val="000000"/>
                <w:sz w:val="22"/>
              </w:rPr>
              <w:t>、</w:t>
            </w:r>
            <w:r>
              <w:rPr>
                <w:rFonts w:hint="eastAsia"/>
                <w:color w:val="000000"/>
                <w:sz w:val="22"/>
              </w:rPr>
              <w:t>001438</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易方达瑞享灵活配置混合型证券投资基金</w:t>
            </w:r>
            <w:r>
              <w:rPr>
                <w:rFonts w:hint="eastAsia"/>
                <w:color w:val="000000"/>
                <w:sz w:val="22"/>
              </w:rPr>
              <w:t>I</w:t>
            </w:r>
            <w:r>
              <w:rPr>
                <w:rFonts w:hint="eastAsia"/>
                <w:color w:val="000000"/>
                <w:sz w:val="22"/>
              </w:rPr>
              <w:t>类、</w:t>
            </w:r>
            <w:r>
              <w:rPr>
                <w:rFonts w:hint="eastAsia"/>
                <w:color w:val="000000"/>
                <w:sz w:val="22"/>
              </w:rPr>
              <w:t>E</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001443</w:t>
            </w:r>
            <w:r>
              <w:rPr>
                <w:rFonts w:hint="eastAsia"/>
                <w:color w:val="000000"/>
                <w:sz w:val="22"/>
              </w:rPr>
              <w:t>、</w:t>
            </w:r>
            <w:r>
              <w:rPr>
                <w:rFonts w:hint="eastAsia"/>
                <w:color w:val="000000"/>
                <w:sz w:val="22"/>
              </w:rPr>
              <w:t>001444</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易方达瑞选灵活配置混合型证券投资基金</w:t>
            </w:r>
            <w:r>
              <w:rPr>
                <w:rFonts w:hint="eastAsia"/>
                <w:color w:val="000000"/>
                <w:sz w:val="22"/>
              </w:rPr>
              <w:t>I</w:t>
            </w:r>
            <w:r>
              <w:rPr>
                <w:rFonts w:hint="eastAsia"/>
                <w:color w:val="000000"/>
                <w:sz w:val="22"/>
              </w:rPr>
              <w:t>类、</w:t>
            </w:r>
            <w:r>
              <w:rPr>
                <w:rFonts w:hint="eastAsia"/>
                <w:color w:val="000000"/>
                <w:sz w:val="22"/>
              </w:rPr>
              <w:t>E</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001475</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易方达国防军工混合型证券投资基金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001512</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易方达中债</w:t>
            </w:r>
            <w:r>
              <w:rPr>
                <w:rFonts w:hint="eastAsia"/>
                <w:color w:val="000000"/>
                <w:sz w:val="22"/>
              </w:rPr>
              <w:t>3-5</w:t>
            </w:r>
            <w:r>
              <w:rPr>
                <w:rFonts w:hint="eastAsia"/>
                <w:color w:val="000000"/>
                <w:sz w:val="22"/>
              </w:rPr>
              <w:t>年期国债指数证券投资基金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001603</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易方达安盈回报混合型证券投资基金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001745</w:t>
            </w:r>
            <w:r>
              <w:rPr>
                <w:rFonts w:hint="eastAsia"/>
                <w:color w:val="000000"/>
                <w:sz w:val="22"/>
              </w:rPr>
              <w:t>、</w:t>
            </w:r>
            <w:r>
              <w:rPr>
                <w:rFonts w:hint="eastAsia"/>
                <w:color w:val="000000"/>
                <w:sz w:val="22"/>
              </w:rPr>
              <w:t>001746</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易方达瑞富灵活配置混合型证券投资基金</w:t>
            </w:r>
            <w:r>
              <w:rPr>
                <w:rFonts w:hint="eastAsia"/>
                <w:color w:val="000000"/>
                <w:sz w:val="22"/>
              </w:rPr>
              <w:t>I</w:t>
            </w:r>
            <w:r>
              <w:rPr>
                <w:rFonts w:hint="eastAsia"/>
                <w:color w:val="000000"/>
                <w:sz w:val="22"/>
              </w:rPr>
              <w:t>类、</w:t>
            </w:r>
            <w:r>
              <w:rPr>
                <w:rFonts w:hint="eastAsia"/>
                <w:color w:val="000000"/>
                <w:sz w:val="22"/>
              </w:rPr>
              <w:t>E</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001802</w:t>
            </w:r>
            <w:r>
              <w:rPr>
                <w:rFonts w:hint="eastAsia"/>
                <w:color w:val="000000"/>
                <w:sz w:val="22"/>
              </w:rPr>
              <w:t>、</w:t>
            </w:r>
            <w:r>
              <w:rPr>
                <w:rFonts w:hint="eastAsia"/>
                <w:color w:val="000000"/>
                <w:sz w:val="22"/>
              </w:rPr>
              <w:t>001803</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易方达瑞财灵活配置混合型证券投资基金</w:t>
            </w:r>
            <w:r>
              <w:rPr>
                <w:rFonts w:hint="eastAsia"/>
                <w:color w:val="000000"/>
                <w:sz w:val="22"/>
              </w:rPr>
              <w:t>I</w:t>
            </w:r>
            <w:r>
              <w:rPr>
                <w:rFonts w:hint="eastAsia"/>
                <w:color w:val="000000"/>
                <w:sz w:val="22"/>
              </w:rPr>
              <w:t>类、</w:t>
            </w:r>
            <w:r>
              <w:rPr>
                <w:rFonts w:hint="eastAsia"/>
                <w:color w:val="000000"/>
                <w:sz w:val="22"/>
              </w:rPr>
              <w:t>E</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001806</w:t>
            </w:r>
            <w:r>
              <w:rPr>
                <w:rFonts w:hint="eastAsia"/>
                <w:color w:val="000000"/>
                <w:sz w:val="22"/>
              </w:rPr>
              <w:t>、</w:t>
            </w:r>
            <w:r>
              <w:rPr>
                <w:rFonts w:hint="eastAsia"/>
                <w:color w:val="000000"/>
                <w:sz w:val="22"/>
              </w:rPr>
              <w:t>001807</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易方达瑞智灵活配置混合型证券投资基金</w:t>
            </w:r>
            <w:r>
              <w:rPr>
                <w:rFonts w:hint="eastAsia"/>
                <w:color w:val="000000"/>
                <w:sz w:val="22"/>
              </w:rPr>
              <w:t>I</w:t>
            </w:r>
            <w:r>
              <w:rPr>
                <w:rFonts w:hint="eastAsia"/>
                <w:color w:val="000000"/>
                <w:sz w:val="22"/>
              </w:rPr>
              <w:t>类、</w:t>
            </w:r>
            <w:r>
              <w:rPr>
                <w:rFonts w:hint="eastAsia"/>
                <w:color w:val="000000"/>
                <w:sz w:val="22"/>
              </w:rPr>
              <w:t>E</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001817</w:t>
            </w:r>
            <w:r>
              <w:rPr>
                <w:rFonts w:hint="eastAsia"/>
                <w:color w:val="000000"/>
                <w:sz w:val="22"/>
              </w:rPr>
              <w:t>、</w:t>
            </w:r>
            <w:r>
              <w:rPr>
                <w:rFonts w:hint="eastAsia"/>
                <w:color w:val="000000"/>
                <w:sz w:val="22"/>
              </w:rPr>
              <w:t>001818</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易方达瑞兴灵活配置混合型证券投资基金</w:t>
            </w:r>
            <w:r>
              <w:rPr>
                <w:rFonts w:hint="eastAsia"/>
                <w:color w:val="000000"/>
                <w:sz w:val="22"/>
              </w:rPr>
              <w:t>I</w:t>
            </w:r>
            <w:r>
              <w:rPr>
                <w:rFonts w:hint="eastAsia"/>
                <w:color w:val="000000"/>
                <w:sz w:val="22"/>
              </w:rPr>
              <w:t>类、</w:t>
            </w:r>
            <w:r>
              <w:rPr>
                <w:rFonts w:hint="eastAsia"/>
                <w:color w:val="000000"/>
                <w:sz w:val="22"/>
              </w:rPr>
              <w:t>E</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lastRenderedPageBreak/>
              <w:t>001856</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易方达环保主题灵活配置混合型证券投资基金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001898</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易方达大健康主题灵活配置混合型证券投资基金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002351</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易方达裕祥回报债券型证券投资基金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002600</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易方达裕景添利</w:t>
            </w:r>
            <w:r>
              <w:rPr>
                <w:rFonts w:hint="eastAsia"/>
                <w:color w:val="000000"/>
                <w:sz w:val="22"/>
              </w:rPr>
              <w:t>6</w:t>
            </w:r>
            <w:r>
              <w:rPr>
                <w:rFonts w:hint="eastAsia"/>
                <w:color w:val="000000"/>
                <w:sz w:val="22"/>
              </w:rPr>
              <w:t>个月定期开放债券型证券投资基金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002602</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易方达丰惠混合型证券投资基金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002910</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易方达供给改革灵活配置混合型证券投资基金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003133</w:t>
            </w:r>
            <w:r>
              <w:rPr>
                <w:rFonts w:hint="eastAsia"/>
                <w:color w:val="000000"/>
                <w:sz w:val="22"/>
              </w:rPr>
              <w:t>、</w:t>
            </w:r>
            <w:r>
              <w:rPr>
                <w:rFonts w:hint="eastAsia"/>
                <w:color w:val="000000"/>
                <w:sz w:val="22"/>
              </w:rPr>
              <w:t>003134</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易方达裕鑫债券型证券投资基金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003214</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易方达富惠纯债债券型证券投资基金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003293</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易方达科瑞灵活配置混合型证券投资基金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003358</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易方达中债</w:t>
            </w:r>
            <w:r>
              <w:rPr>
                <w:rFonts w:hint="eastAsia"/>
                <w:color w:val="000000"/>
                <w:sz w:val="22"/>
              </w:rPr>
              <w:t>7-10</w:t>
            </w:r>
            <w:r>
              <w:rPr>
                <w:rFonts w:hint="eastAsia"/>
                <w:color w:val="000000"/>
                <w:sz w:val="22"/>
              </w:rPr>
              <w:t>年期国开行债券指数证券投资基金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003524</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易方达深证成指交易型开放式指数证券投资基金联接基金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003839</w:t>
            </w:r>
            <w:r>
              <w:rPr>
                <w:rFonts w:hint="eastAsia"/>
                <w:color w:val="000000"/>
                <w:sz w:val="22"/>
              </w:rPr>
              <w:t>、</w:t>
            </w:r>
            <w:r>
              <w:rPr>
                <w:rFonts w:hint="eastAsia"/>
                <w:color w:val="000000"/>
                <w:sz w:val="22"/>
              </w:rPr>
              <w:t>003840</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易方达瑞通灵活配置混合型证券投资基金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003882</w:t>
            </w:r>
            <w:r>
              <w:rPr>
                <w:rFonts w:hint="eastAsia"/>
                <w:color w:val="000000"/>
                <w:sz w:val="22"/>
              </w:rPr>
              <w:t>、</w:t>
            </w:r>
            <w:r>
              <w:rPr>
                <w:rFonts w:hint="eastAsia"/>
                <w:color w:val="000000"/>
                <w:sz w:val="22"/>
              </w:rPr>
              <w:t>003883</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易方达瑞弘灵活配置混合型证券投资基金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003961</w:t>
            </w:r>
            <w:r>
              <w:rPr>
                <w:rFonts w:hint="eastAsia"/>
                <w:color w:val="000000"/>
                <w:sz w:val="22"/>
              </w:rPr>
              <w:t>、</w:t>
            </w:r>
            <w:r>
              <w:rPr>
                <w:rFonts w:hint="eastAsia"/>
                <w:color w:val="000000"/>
                <w:sz w:val="22"/>
              </w:rPr>
              <w:t>003962</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易方达瑞程灵活配置混合型证券投资基金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110002</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易方达策略成长证券投资基金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110005</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易方达积极成长证券投资基金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110010</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易方达价值成长混合型证券投资基金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110012</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易方达科汇灵活配置混合型证券投资基金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110015</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易方达行业领先企业混合型证券投资基金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110019</w:t>
            </w:r>
            <w:r>
              <w:rPr>
                <w:rFonts w:hint="eastAsia"/>
                <w:color w:val="000000"/>
                <w:sz w:val="22"/>
              </w:rPr>
              <w:t>、</w:t>
            </w:r>
            <w:r>
              <w:rPr>
                <w:rFonts w:hint="eastAsia"/>
                <w:color w:val="000000"/>
                <w:sz w:val="22"/>
              </w:rPr>
              <w:t>004742</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易方达深证</w:t>
            </w:r>
            <w:r>
              <w:rPr>
                <w:rFonts w:hint="eastAsia"/>
                <w:color w:val="000000"/>
                <w:sz w:val="22"/>
              </w:rPr>
              <w:t>100</w:t>
            </w:r>
            <w:r>
              <w:rPr>
                <w:rFonts w:hint="eastAsia"/>
                <w:color w:val="000000"/>
                <w:sz w:val="22"/>
              </w:rPr>
              <w:t>交易型开放式指数证券投资基金联接基金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110020</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易方达沪深</w:t>
            </w:r>
            <w:r>
              <w:rPr>
                <w:rFonts w:hint="eastAsia"/>
                <w:color w:val="000000"/>
                <w:sz w:val="22"/>
              </w:rPr>
              <w:t>300</w:t>
            </w:r>
            <w:r>
              <w:rPr>
                <w:rFonts w:hint="eastAsia"/>
                <w:color w:val="000000"/>
                <w:sz w:val="22"/>
              </w:rPr>
              <w:t>交易型开放式指数发起式证券投资基金联接基金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110021</w:t>
            </w:r>
            <w:r>
              <w:rPr>
                <w:rFonts w:hint="eastAsia"/>
                <w:color w:val="000000"/>
                <w:sz w:val="22"/>
              </w:rPr>
              <w:t>、</w:t>
            </w:r>
            <w:r>
              <w:rPr>
                <w:rFonts w:hint="eastAsia"/>
                <w:color w:val="000000"/>
                <w:sz w:val="22"/>
              </w:rPr>
              <w:t>004743</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易方达上证中盘交易型开放式指数证券投资基金联接基金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110022</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易方达消费行业股票型证券投资基金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110023</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易方达医疗保健行业混合型证券投资基金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110025</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易方达资源行业混合型证券投资基金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110026</w:t>
            </w:r>
            <w:r>
              <w:rPr>
                <w:rFonts w:hint="eastAsia"/>
                <w:color w:val="000000"/>
                <w:sz w:val="22"/>
              </w:rPr>
              <w:t>、</w:t>
            </w:r>
            <w:r>
              <w:rPr>
                <w:rFonts w:hint="eastAsia"/>
                <w:color w:val="000000"/>
                <w:sz w:val="22"/>
              </w:rPr>
              <w:t>004744</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易方达创业板交易型开放式指数证券投资基金联接基金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110030</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易方达沪深</w:t>
            </w:r>
            <w:r>
              <w:rPr>
                <w:rFonts w:hint="eastAsia"/>
                <w:color w:val="000000"/>
                <w:sz w:val="22"/>
              </w:rPr>
              <w:t>300</w:t>
            </w:r>
            <w:r>
              <w:rPr>
                <w:rFonts w:hint="eastAsia"/>
                <w:color w:val="000000"/>
                <w:sz w:val="22"/>
              </w:rPr>
              <w:t>量化增强证券投资基金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110031</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易方达恒生中国企业交易型开放式指数证券投资基金联接基金人民币</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110035</w:t>
            </w:r>
            <w:r>
              <w:rPr>
                <w:rFonts w:hint="eastAsia"/>
                <w:color w:val="000000"/>
                <w:sz w:val="22"/>
              </w:rPr>
              <w:t>、</w:t>
            </w:r>
            <w:r>
              <w:rPr>
                <w:rFonts w:hint="eastAsia"/>
                <w:color w:val="000000"/>
                <w:sz w:val="22"/>
              </w:rPr>
              <w:t>110036</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易方达双债增强债券型证券投资基金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110037</w:t>
            </w:r>
            <w:r>
              <w:rPr>
                <w:rFonts w:hint="eastAsia"/>
                <w:color w:val="000000"/>
                <w:sz w:val="22"/>
              </w:rPr>
              <w:t>、</w:t>
            </w:r>
            <w:r>
              <w:rPr>
                <w:rFonts w:hint="eastAsia"/>
                <w:color w:val="000000"/>
                <w:sz w:val="22"/>
              </w:rPr>
              <w:t>110038</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易方达纯债债券型证券投资基金</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112002</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易方达策略成长二号混合型证券投资基金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118001</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易方达亚洲精选股票型证券投资基金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118002</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易方达标普全球高端消费品指数增强型证券投资基金人民币</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161115</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易方达岁丰添利债券型证券投资基金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161116</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易方达黄金主题证券投资基金（</w:t>
            </w:r>
            <w:r>
              <w:rPr>
                <w:rFonts w:hint="eastAsia"/>
                <w:color w:val="000000"/>
                <w:sz w:val="22"/>
              </w:rPr>
              <w:t>LOF</w:t>
            </w:r>
            <w:r>
              <w:rPr>
                <w:rFonts w:hint="eastAsia"/>
                <w:color w:val="000000"/>
                <w:sz w:val="22"/>
              </w:rPr>
              <w:t>）</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161117</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易方达永旭添利定期开放债券型证券投资基金</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161118</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易方达中小板指数分级证券投资基金基础份额</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161119</w:t>
            </w:r>
            <w:r>
              <w:rPr>
                <w:rFonts w:hint="eastAsia"/>
                <w:color w:val="000000"/>
                <w:sz w:val="22"/>
              </w:rPr>
              <w:t>、</w:t>
            </w:r>
            <w:r>
              <w:rPr>
                <w:rFonts w:hint="eastAsia"/>
                <w:color w:val="000000"/>
                <w:sz w:val="22"/>
              </w:rPr>
              <w:t>161120</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易方达中债新综合债券指数发起式证券投资基金（</w:t>
            </w:r>
            <w:r>
              <w:rPr>
                <w:rFonts w:hint="eastAsia"/>
                <w:color w:val="000000"/>
                <w:sz w:val="22"/>
              </w:rPr>
              <w:t>LOF</w:t>
            </w:r>
            <w:r>
              <w:rPr>
                <w:rFonts w:hint="eastAsia"/>
                <w:color w:val="000000"/>
                <w:sz w:val="22"/>
              </w:rPr>
              <w:t>）</w:t>
            </w:r>
            <w:r>
              <w:rPr>
                <w:rFonts w:hint="eastAsia"/>
                <w:color w:val="000000"/>
                <w:sz w:val="22"/>
              </w:rPr>
              <w:t>A</w:t>
            </w:r>
            <w:r>
              <w:rPr>
                <w:rFonts w:hint="eastAsia"/>
                <w:color w:val="000000"/>
                <w:sz w:val="22"/>
              </w:rPr>
              <w:t>类、</w:t>
            </w:r>
            <w:r>
              <w:rPr>
                <w:rFonts w:hint="eastAsia"/>
                <w:color w:val="000000"/>
                <w:sz w:val="22"/>
              </w:rPr>
              <w:t>C</w:t>
            </w:r>
            <w:r>
              <w:rPr>
                <w:rFonts w:hint="eastAsia"/>
                <w:color w:val="000000"/>
                <w:sz w:val="22"/>
              </w:rPr>
              <w:t>类</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161121</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易方达银行指数分级证券投资基金基础份额</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161122</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易方达生物科技指数分级证券投资基金基础份额</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161123</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易方达并购重组指数分级证券投资基金基础份额</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161124</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易方达香港恒生综合小型股指数证券投资基金（</w:t>
            </w:r>
            <w:r>
              <w:rPr>
                <w:rFonts w:hint="eastAsia"/>
                <w:color w:val="000000"/>
                <w:sz w:val="22"/>
              </w:rPr>
              <w:t>LOF</w:t>
            </w:r>
            <w:r>
              <w:rPr>
                <w:rFonts w:hint="eastAsia"/>
                <w:color w:val="000000"/>
                <w:sz w:val="22"/>
              </w:rPr>
              <w:t>）</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161125</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易方达标普</w:t>
            </w:r>
            <w:r>
              <w:rPr>
                <w:rFonts w:hint="eastAsia"/>
                <w:color w:val="000000"/>
                <w:sz w:val="22"/>
              </w:rPr>
              <w:t>500</w:t>
            </w:r>
            <w:r>
              <w:rPr>
                <w:rFonts w:hint="eastAsia"/>
                <w:color w:val="000000"/>
                <w:sz w:val="22"/>
              </w:rPr>
              <w:t>指数证券投资基金（</w:t>
            </w:r>
            <w:r>
              <w:rPr>
                <w:rFonts w:hint="eastAsia"/>
                <w:color w:val="000000"/>
                <w:sz w:val="22"/>
              </w:rPr>
              <w:t>LOF</w:t>
            </w:r>
            <w:r>
              <w:rPr>
                <w:rFonts w:hint="eastAsia"/>
                <w:color w:val="000000"/>
                <w:sz w:val="22"/>
              </w:rPr>
              <w:t>）人民币</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lastRenderedPageBreak/>
              <w:t>161126</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易方达标普医疗保健指数证券投资基金（</w:t>
            </w:r>
            <w:r>
              <w:rPr>
                <w:rFonts w:hint="eastAsia"/>
                <w:color w:val="000000"/>
                <w:sz w:val="22"/>
              </w:rPr>
              <w:t>LOF</w:t>
            </w:r>
            <w:r>
              <w:rPr>
                <w:rFonts w:hint="eastAsia"/>
                <w:color w:val="000000"/>
                <w:sz w:val="22"/>
              </w:rPr>
              <w:t>）人民币</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161127</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易方达标普生物科技指数证券投资基金（</w:t>
            </w:r>
            <w:r>
              <w:rPr>
                <w:rFonts w:hint="eastAsia"/>
                <w:color w:val="000000"/>
                <w:sz w:val="22"/>
              </w:rPr>
              <w:t>LOF</w:t>
            </w:r>
            <w:r>
              <w:rPr>
                <w:rFonts w:hint="eastAsia"/>
                <w:color w:val="000000"/>
                <w:sz w:val="22"/>
              </w:rPr>
              <w:t>）人民币</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161128</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易方达标普信息科技指数证券投资基金（</w:t>
            </w:r>
            <w:r>
              <w:rPr>
                <w:rFonts w:hint="eastAsia"/>
                <w:color w:val="000000"/>
                <w:sz w:val="22"/>
              </w:rPr>
              <w:t>LOF</w:t>
            </w:r>
            <w:r>
              <w:rPr>
                <w:rFonts w:hint="eastAsia"/>
                <w:color w:val="000000"/>
                <w:sz w:val="22"/>
              </w:rPr>
              <w:t>）人民币</w:t>
            </w:r>
          </w:p>
        </w:tc>
      </w:tr>
      <w:tr w:rsidR="00E43D27"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tcPr>
          <w:p w:rsidR="00E43D27" w:rsidRDefault="00E43D27" w:rsidP="00E43D27">
            <w:pPr>
              <w:widowControl/>
              <w:spacing w:afterLines="0"/>
              <w:rPr>
                <w:color w:val="000000"/>
                <w:sz w:val="22"/>
              </w:rPr>
            </w:pPr>
            <w:r>
              <w:rPr>
                <w:rFonts w:hint="eastAsia"/>
                <w:color w:val="000000"/>
                <w:sz w:val="22"/>
              </w:rPr>
              <w:t>161129</w:t>
            </w:r>
            <w:r>
              <w:rPr>
                <w:rFonts w:hint="eastAsia"/>
                <w:color w:val="000000"/>
                <w:sz w:val="22"/>
              </w:rPr>
              <w:t>、</w:t>
            </w:r>
            <w:r>
              <w:rPr>
                <w:rFonts w:hint="eastAsia"/>
                <w:color w:val="000000"/>
                <w:sz w:val="22"/>
              </w:rPr>
              <w:t>003321</w:t>
            </w:r>
          </w:p>
        </w:tc>
        <w:tc>
          <w:tcPr>
            <w:tcW w:w="7460" w:type="dxa"/>
            <w:tcBorders>
              <w:top w:val="nil"/>
              <w:left w:val="nil"/>
              <w:bottom w:val="single" w:sz="4" w:space="0" w:color="auto"/>
              <w:right w:val="single" w:sz="4" w:space="0" w:color="auto"/>
            </w:tcBorders>
            <w:shd w:val="clear" w:color="auto" w:fill="FFFFFF" w:themeFill="background1"/>
            <w:noWrap/>
          </w:tcPr>
          <w:p w:rsidR="00E43D27" w:rsidRDefault="00E43D27" w:rsidP="00E43D27">
            <w:pPr>
              <w:widowControl/>
              <w:spacing w:afterLines="0"/>
              <w:rPr>
                <w:color w:val="000000"/>
                <w:sz w:val="22"/>
              </w:rPr>
            </w:pPr>
            <w:r>
              <w:rPr>
                <w:rFonts w:hint="eastAsia"/>
                <w:color w:val="000000"/>
                <w:sz w:val="22"/>
              </w:rPr>
              <w:t>易方达原油证券投资基金（</w:t>
            </w:r>
            <w:r>
              <w:rPr>
                <w:rFonts w:hint="eastAsia"/>
                <w:color w:val="000000"/>
                <w:sz w:val="22"/>
              </w:rPr>
              <w:t>QDII</w:t>
            </w:r>
            <w:r>
              <w:rPr>
                <w:rFonts w:hint="eastAsia"/>
                <w:color w:val="000000"/>
                <w:sz w:val="22"/>
              </w:rPr>
              <w:t>）</w:t>
            </w:r>
            <w:r>
              <w:rPr>
                <w:rFonts w:hint="eastAsia"/>
                <w:color w:val="000000"/>
                <w:sz w:val="22"/>
              </w:rPr>
              <w:t>A</w:t>
            </w:r>
            <w:r>
              <w:rPr>
                <w:rFonts w:hint="eastAsia"/>
                <w:color w:val="000000"/>
                <w:sz w:val="22"/>
              </w:rPr>
              <w:t>类人民币、</w:t>
            </w:r>
            <w:r>
              <w:rPr>
                <w:rFonts w:hint="eastAsia"/>
                <w:color w:val="000000"/>
                <w:sz w:val="22"/>
              </w:rPr>
              <w:t>C</w:t>
            </w:r>
            <w:r>
              <w:rPr>
                <w:rFonts w:hint="eastAsia"/>
                <w:color w:val="000000"/>
                <w:sz w:val="22"/>
              </w:rPr>
              <w:t>类人民币</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161130</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易方达纳斯达克</w:t>
            </w:r>
            <w:r>
              <w:rPr>
                <w:rFonts w:hint="eastAsia"/>
                <w:color w:val="000000"/>
                <w:sz w:val="22"/>
              </w:rPr>
              <w:t>100</w:t>
            </w:r>
            <w:r>
              <w:rPr>
                <w:rFonts w:hint="eastAsia"/>
                <w:color w:val="000000"/>
                <w:sz w:val="22"/>
              </w:rPr>
              <w:t>指数证券投资基金（</w:t>
            </w:r>
            <w:r>
              <w:rPr>
                <w:rFonts w:hint="eastAsia"/>
                <w:color w:val="000000"/>
                <w:sz w:val="22"/>
              </w:rPr>
              <w:t>LOF</w:t>
            </w:r>
            <w:r>
              <w:rPr>
                <w:rFonts w:hint="eastAsia"/>
                <w:color w:val="000000"/>
                <w:sz w:val="22"/>
              </w:rPr>
              <w:t>）人民币</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502003</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易方达军工指数分级证券投资基金基础份额</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502006</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易方达国企改革指数分级证券投资基金基础份额</w:t>
            </w:r>
          </w:p>
        </w:tc>
      </w:tr>
      <w:tr w:rsidR="00981B2C" w:rsidRPr="00E0214D"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502010</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易方达证券公司指数分级证券投资基金基础份额</w:t>
            </w:r>
          </w:p>
        </w:tc>
      </w:tr>
      <w:tr w:rsidR="00981B2C" w:rsidRPr="00981B2C" w:rsidTr="009B349B">
        <w:trPr>
          <w:trHeight w:val="270"/>
        </w:trPr>
        <w:tc>
          <w:tcPr>
            <w:tcW w:w="1920" w:type="dxa"/>
            <w:tcBorders>
              <w:top w:val="nil"/>
              <w:left w:val="single" w:sz="4" w:space="0" w:color="auto"/>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502048</w:t>
            </w:r>
          </w:p>
        </w:tc>
        <w:tc>
          <w:tcPr>
            <w:tcW w:w="7460" w:type="dxa"/>
            <w:tcBorders>
              <w:top w:val="nil"/>
              <w:left w:val="nil"/>
              <w:bottom w:val="single" w:sz="4" w:space="0" w:color="auto"/>
              <w:right w:val="single" w:sz="4" w:space="0" w:color="auto"/>
            </w:tcBorders>
            <w:shd w:val="clear" w:color="auto" w:fill="FFFFFF" w:themeFill="background1"/>
            <w:noWrap/>
            <w:hideMark/>
          </w:tcPr>
          <w:p w:rsidR="00981B2C" w:rsidRPr="00E0214D" w:rsidRDefault="00981B2C" w:rsidP="00981B2C">
            <w:pPr>
              <w:widowControl/>
              <w:spacing w:afterLines="0"/>
              <w:rPr>
                <w:rFonts w:ascii="宋体" w:eastAsia="宋体" w:hAnsi="宋体" w:cs="宋体"/>
                <w:color w:val="000000"/>
                <w:kern w:val="0"/>
                <w:szCs w:val="21"/>
              </w:rPr>
            </w:pPr>
            <w:r>
              <w:rPr>
                <w:rFonts w:hint="eastAsia"/>
                <w:color w:val="000000"/>
                <w:sz w:val="22"/>
              </w:rPr>
              <w:t>易方达上证</w:t>
            </w:r>
            <w:r>
              <w:rPr>
                <w:rFonts w:hint="eastAsia"/>
                <w:color w:val="000000"/>
                <w:sz w:val="22"/>
              </w:rPr>
              <w:t>50</w:t>
            </w:r>
            <w:r>
              <w:rPr>
                <w:rFonts w:hint="eastAsia"/>
                <w:color w:val="000000"/>
                <w:sz w:val="22"/>
              </w:rPr>
              <w:t>指数分级证券投资基金基础份额</w:t>
            </w:r>
          </w:p>
        </w:tc>
      </w:tr>
    </w:tbl>
    <w:p w:rsidR="000A1A61" w:rsidRPr="007931BA" w:rsidRDefault="00B8258B" w:rsidP="00741B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line="360" w:lineRule="auto"/>
        <w:ind w:firstLineChars="200" w:firstLine="480"/>
        <w:contextualSpacing/>
        <w:rPr>
          <w:rFonts w:asciiTheme="minorEastAsia" w:hAnsiTheme="minorEastAsia" w:cs="宋体"/>
          <w:kern w:val="0"/>
          <w:sz w:val="24"/>
          <w:szCs w:val="24"/>
        </w:rPr>
      </w:pPr>
      <w:r w:rsidRPr="007931BA">
        <w:rPr>
          <w:rFonts w:asciiTheme="minorEastAsia" w:hAnsiTheme="minorEastAsia" w:cs="宋体" w:hint="eastAsia"/>
          <w:kern w:val="0"/>
          <w:sz w:val="24"/>
          <w:szCs w:val="24"/>
        </w:rPr>
        <w:t>（2）</w:t>
      </w:r>
      <w:r w:rsidR="00DE04C4">
        <w:rPr>
          <w:rFonts w:asciiTheme="minorEastAsia" w:hAnsiTheme="minorEastAsia" w:cs="宋体" w:hint="eastAsia"/>
          <w:bCs/>
          <w:kern w:val="0"/>
          <w:sz w:val="24"/>
          <w:szCs w:val="24"/>
        </w:rPr>
        <w:t>调整</w:t>
      </w:r>
      <w:r w:rsidR="00BB4E0B">
        <w:rPr>
          <w:rFonts w:asciiTheme="minorEastAsia" w:hAnsiTheme="minorEastAsia" w:hint="eastAsia"/>
          <w:sz w:val="24"/>
          <w:szCs w:val="24"/>
        </w:rPr>
        <w:t>内容</w:t>
      </w:r>
    </w:p>
    <w:p w:rsidR="000A1A61" w:rsidRPr="007931BA" w:rsidRDefault="00FB3E59" w:rsidP="00741B36">
      <w:pPr>
        <w:pStyle w:val="2"/>
        <w:spacing w:line="360" w:lineRule="auto"/>
        <w:ind w:firstLineChars="200" w:firstLine="480"/>
        <w:contextualSpacing/>
        <w:jc w:val="both"/>
        <w:rPr>
          <w:rFonts w:asciiTheme="minorEastAsia" w:eastAsiaTheme="minorEastAsia" w:hAnsiTheme="minorEastAsia"/>
        </w:rPr>
      </w:pPr>
      <w:r w:rsidRPr="007931BA">
        <w:rPr>
          <w:rFonts w:asciiTheme="minorEastAsia" w:eastAsiaTheme="minorEastAsia" w:hAnsiTheme="minorEastAsia" w:hint="eastAsia"/>
        </w:rPr>
        <w:t>调整后，</w:t>
      </w:r>
      <w:r w:rsidR="00E0214D">
        <w:rPr>
          <w:rFonts w:asciiTheme="minorEastAsia" w:eastAsiaTheme="minorEastAsia" w:hAnsiTheme="minorEastAsia" w:hint="eastAsia"/>
          <w:bCs/>
        </w:rPr>
        <w:t>上述适用</w:t>
      </w:r>
      <w:r w:rsidR="00E0214D" w:rsidRPr="001D0E6B">
        <w:rPr>
          <w:rFonts w:asciiTheme="minorEastAsia" w:eastAsiaTheme="minorEastAsia" w:hAnsiTheme="minorEastAsia" w:hint="eastAsia"/>
        </w:rPr>
        <w:t>基金份额单笔</w:t>
      </w:r>
      <w:r w:rsidR="00E0214D">
        <w:rPr>
          <w:rFonts w:asciiTheme="minorEastAsia" w:eastAsiaTheme="minorEastAsia" w:hAnsiTheme="minorEastAsia" w:hint="eastAsia"/>
        </w:rPr>
        <w:t>最低</w:t>
      </w:r>
      <w:r w:rsidR="00E0214D" w:rsidRPr="001D0E6B">
        <w:rPr>
          <w:rFonts w:asciiTheme="minorEastAsia" w:eastAsiaTheme="minorEastAsia" w:hAnsiTheme="minorEastAsia" w:hint="eastAsia"/>
        </w:rPr>
        <w:t>赎回</w:t>
      </w:r>
      <w:r w:rsidR="00E0214D">
        <w:rPr>
          <w:rFonts w:asciiTheme="minorEastAsia" w:eastAsiaTheme="minorEastAsia" w:hAnsiTheme="minorEastAsia" w:hint="eastAsia"/>
        </w:rPr>
        <w:t>、</w:t>
      </w:r>
      <w:r w:rsidR="00E0214D" w:rsidRPr="001D0E6B">
        <w:rPr>
          <w:rFonts w:asciiTheme="minorEastAsia" w:eastAsiaTheme="minorEastAsia" w:hAnsiTheme="minorEastAsia" w:hint="eastAsia"/>
        </w:rPr>
        <w:t>单笔</w:t>
      </w:r>
      <w:r w:rsidR="00E0214D">
        <w:rPr>
          <w:rFonts w:asciiTheme="minorEastAsia" w:eastAsiaTheme="minorEastAsia" w:hAnsiTheme="minorEastAsia" w:hint="eastAsia"/>
        </w:rPr>
        <w:t>最低</w:t>
      </w:r>
      <w:r w:rsidR="00E0214D">
        <w:rPr>
          <w:rFonts w:asciiTheme="minorEastAsia" w:eastAsiaTheme="minorEastAsia" w:hAnsiTheme="minorEastAsia"/>
        </w:rPr>
        <w:t>转换</w:t>
      </w:r>
      <w:r w:rsidR="00E0214D">
        <w:rPr>
          <w:rFonts w:asciiTheme="minorEastAsia" w:eastAsiaTheme="minorEastAsia" w:hAnsiTheme="minorEastAsia" w:hint="eastAsia"/>
        </w:rPr>
        <w:t>转出及最低持有份额的限制均为1</w:t>
      </w:r>
      <w:r w:rsidR="00E0214D" w:rsidRPr="001D0E6B">
        <w:rPr>
          <w:rFonts w:asciiTheme="minorEastAsia" w:eastAsiaTheme="minorEastAsia" w:hAnsiTheme="minorEastAsia" w:hint="eastAsia"/>
        </w:rPr>
        <w:t>份（如该账户在该销售机构托管的</w:t>
      </w:r>
      <w:r w:rsidR="00E0214D">
        <w:rPr>
          <w:rFonts w:asciiTheme="minorEastAsia" w:eastAsiaTheme="minorEastAsia" w:hAnsiTheme="minorEastAsia" w:hint="eastAsia"/>
        </w:rPr>
        <w:t>该类</w:t>
      </w:r>
      <w:r w:rsidR="00E0214D" w:rsidRPr="001D0E6B">
        <w:rPr>
          <w:rFonts w:asciiTheme="minorEastAsia" w:eastAsiaTheme="minorEastAsia" w:hAnsiTheme="minorEastAsia" w:hint="eastAsia"/>
        </w:rPr>
        <w:t>基金余额不足</w:t>
      </w:r>
      <w:r w:rsidR="00E0214D">
        <w:rPr>
          <w:rFonts w:asciiTheme="minorEastAsia" w:eastAsiaTheme="minorEastAsia" w:hAnsiTheme="minorEastAsia" w:hint="eastAsia"/>
        </w:rPr>
        <w:t>1</w:t>
      </w:r>
      <w:r w:rsidR="00E0214D" w:rsidRPr="001D0E6B">
        <w:rPr>
          <w:rFonts w:asciiTheme="minorEastAsia" w:eastAsiaTheme="minorEastAsia" w:hAnsiTheme="minorEastAsia" w:hint="eastAsia"/>
        </w:rPr>
        <w:t>份，则必须一次性赎回或</w:t>
      </w:r>
      <w:r w:rsidR="00E0214D">
        <w:rPr>
          <w:rFonts w:asciiTheme="minorEastAsia" w:eastAsiaTheme="minorEastAsia" w:hAnsiTheme="minorEastAsia" w:hint="eastAsia"/>
        </w:rPr>
        <w:t>转换</w:t>
      </w:r>
      <w:r w:rsidR="00E0214D" w:rsidRPr="001D0E6B">
        <w:rPr>
          <w:rFonts w:asciiTheme="minorEastAsia" w:eastAsiaTheme="minorEastAsia" w:hAnsiTheme="minorEastAsia" w:hint="eastAsia"/>
        </w:rPr>
        <w:t>转出该类基金全部份额）；若某笔赎回</w:t>
      </w:r>
      <w:r w:rsidR="00E0214D">
        <w:rPr>
          <w:rFonts w:asciiTheme="minorEastAsia" w:eastAsiaTheme="minorEastAsia" w:hAnsiTheme="minorEastAsia" w:hint="eastAsia"/>
        </w:rPr>
        <w:t>或</w:t>
      </w:r>
      <w:r w:rsidR="00E0214D">
        <w:rPr>
          <w:rFonts w:asciiTheme="minorEastAsia" w:eastAsiaTheme="minorEastAsia" w:hAnsiTheme="minorEastAsia"/>
        </w:rPr>
        <w:t>转换</w:t>
      </w:r>
      <w:r w:rsidR="00E0214D">
        <w:rPr>
          <w:rFonts w:asciiTheme="minorEastAsia" w:eastAsiaTheme="minorEastAsia" w:hAnsiTheme="minorEastAsia" w:hint="eastAsia"/>
        </w:rPr>
        <w:t>转出</w:t>
      </w:r>
      <w:r w:rsidR="00E0214D" w:rsidRPr="001D0E6B">
        <w:rPr>
          <w:rFonts w:asciiTheme="minorEastAsia" w:eastAsiaTheme="minorEastAsia" w:hAnsiTheme="minorEastAsia" w:hint="eastAsia"/>
        </w:rPr>
        <w:t>将导致</w:t>
      </w:r>
      <w:r w:rsidR="00E0214D">
        <w:rPr>
          <w:rFonts w:asciiTheme="minorEastAsia" w:eastAsiaTheme="minorEastAsia" w:hAnsiTheme="minorEastAsia" w:hint="eastAsia"/>
        </w:rPr>
        <w:t>投资者</w:t>
      </w:r>
      <w:r w:rsidR="00E0214D" w:rsidRPr="001D0E6B">
        <w:rPr>
          <w:rFonts w:asciiTheme="minorEastAsia" w:eastAsiaTheme="minorEastAsia" w:hAnsiTheme="minorEastAsia" w:hint="eastAsia"/>
        </w:rPr>
        <w:t>在该销售机构托管的该类基金余额不足</w:t>
      </w:r>
      <w:r w:rsidR="00E0214D">
        <w:rPr>
          <w:rFonts w:asciiTheme="minorEastAsia" w:eastAsiaTheme="minorEastAsia" w:hAnsiTheme="minorEastAsia" w:hint="eastAsia"/>
        </w:rPr>
        <w:t>1</w:t>
      </w:r>
      <w:r w:rsidR="00E0214D" w:rsidRPr="001D0E6B">
        <w:rPr>
          <w:rFonts w:asciiTheme="minorEastAsia" w:eastAsiaTheme="minorEastAsia" w:hAnsiTheme="minorEastAsia" w:hint="eastAsia"/>
        </w:rPr>
        <w:t>份时，基金管理人有权将</w:t>
      </w:r>
      <w:r w:rsidR="00E0214D">
        <w:rPr>
          <w:rFonts w:asciiTheme="minorEastAsia" w:eastAsiaTheme="minorEastAsia" w:hAnsiTheme="minorEastAsia" w:hint="eastAsia"/>
        </w:rPr>
        <w:t>投资者</w:t>
      </w:r>
      <w:r w:rsidR="00E0214D" w:rsidRPr="001D0E6B">
        <w:rPr>
          <w:rFonts w:asciiTheme="minorEastAsia" w:eastAsiaTheme="minorEastAsia" w:hAnsiTheme="minorEastAsia" w:hint="eastAsia"/>
        </w:rPr>
        <w:t>在该销售机构托管的该类基金剩余份额一次性全部赎回。</w:t>
      </w:r>
    </w:p>
    <w:p w:rsidR="00CD7C0B" w:rsidRDefault="00277414" w:rsidP="00741B36">
      <w:pPr>
        <w:pStyle w:val="2"/>
        <w:spacing w:line="360" w:lineRule="auto"/>
        <w:ind w:firstLineChars="200" w:firstLine="480"/>
        <w:jc w:val="both"/>
        <w:rPr>
          <w:rFonts w:asciiTheme="minorEastAsia" w:eastAsiaTheme="minorEastAsia" w:hAnsiTheme="minorEastAsia"/>
        </w:rPr>
      </w:pPr>
      <w:r w:rsidRPr="007931BA">
        <w:rPr>
          <w:rFonts w:asciiTheme="minorEastAsia" w:eastAsiaTheme="minorEastAsia" w:hAnsiTheme="minorEastAsia" w:hint="eastAsia"/>
        </w:rPr>
        <w:t>其中，投资者场内赎回</w:t>
      </w:r>
      <w:r w:rsidR="009D50B3" w:rsidRPr="00914CAF">
        <w:rPr>
          <w:rFonts w:asciiTheme="minorEastAsia" w:hAnsiTheme="minorEastAsia" w:hint="eastAsia"/>
        </w:rPr>
        <w:t>易方达岁丰添利债券型证券投资基金</w:t>
      </w:r>
      <w:r w:rsidR="009D50B3" w:rsidRPr="007931BA">
        <w:rPr>
          <w:rFonts w:asciiTheme="minorEastAsia" w:hAnsiTheme="minorEastAsia" w:hint="eastAsia"/>
        </w:rPr>
        <w:t>、</w:t>
      </w:r>
      <w:r w:rsidR="009D50B3" w:rsidRPr="00914CAF">
        <w:rPr>
          <w:rFonts w:asciiTheme="minorEastAsia" w:hAnsiTheme="minorEastAsia" w:hint="eastAsia"/>
        </w:rPr>
        <w:t>易方达黄金主题证券投资基金（LOF）</w:t>
      </w:r>
      <w:r w:rsidR="009D50B3">
        <w:rPr>
          <w:rFonts w:asciiTheme="minorEastAsia" w:hAnsiTheme="minorEastAsia" w:hint="eastAsia"/>
        </w:rPr>
        <w:t>、</w:t>
      </w:r>
      <w:r w:rsidR="009D50B3" w:rsidRPr="00914CAF">
        <w:rPr>
          <w:rFonts w:asciiTheme="minorEastAsia" w:hAnsiTheme="minorEastAsia" w:hint="eastAsia"/>
        </w:rPr>
        <w:t>易方达永旭添利定期开放债券型证券投资基金</w:t>
      </w:r>
      <w:r w:rsidR="009D50B3" w:rsidRPr="007931BA">
        <w:rPr>
          <w:rFonts w:asciiTheme="minorEastAsia" w:hAnsiTheme="minorEastAsia" w:hint="eastAsia"/>
        </w:rPr>
        <w:t>、</w:t>
      </w:r>
      <w:r w:rsidR="009D50B3" w:rsidRPr="00914CAF">
        <w:rPr>
          <w:rFonts w:asciiTheme="minorEastAsia" w:hAnsiTheme="minorEastAsia" w:hint="eastAsia"/>
        </w:rPr>
        <w:t>易方达中债新综合债券指数发起式证券投资基金（LOF）A类</w:t>
      </w:r>
      <w:r w:rsidR="009D50B3">
        <w:rPr>
          <w:rFonts w:asciiTheme="minorEastAsia" w:hAnsiTheme="minorEastAsia" w:hint="eastAsia"/>
        </w:rPr>
        <w:t>、</w:t>
      </w:r>
      <w:r w:rsidR="009D50B3" w:rsidRPr="00914CAF">
        <w:rPr>
          <w:rFonts w:asciiTheme="minorEastAsia" w:hAnsiTheme="minorEastAsia" w:hint="eastAsia"/>
        </w:rPr>
        <w:t>易方达香港恒生综合小型股指数证券投资基金（LOF）</w:t>
      </w:r>
      <w:r w:rsidR="009D50B3">
        <w:rPr>
          <w:rFonts w:asciiTheme="minorEastAsia" w:hAnsiTheme="minorEastAsia" w:hint="eastAsia"/>
        </w:rPr>
        <w:t>、</w:t>
      </w:r>
      <w:r w:rsidR="009D50B3" w:rsidRPr="00914CAF">
        <w:rPr>
          <w:rFonts w:asciiTheme="minorEastAsia" w:hAnsiTheme="minorEastAsia" w:hint="eastAsia"/>
        </w:rPr>
        <w:t>易方达标普500指数证券投资基金（LOF）人民币、易方达标普医疗保健指数证券投资基金（LOF）人民币、易方达标普生物科技指数证券投资基金（LOF）人民币、易方达标普信息科技指数证券投资基金（LOF）人民币</w:t>
      </w:r>
      <w:r w:rsidR="009D50B3">
        <w:rPr>
          <w:rFonts w:asciiTheme="minorEastAsia" w:hAnsiTheme="minorEastAsia" w:hint="eastAsia"/>
        </w:rPr>
        <w:t>、</w:t>
      </w:r>
      <w:r w:rsidR="00E43D27" w:rsidRPr="00E43D27">
        <w:rPr>
          <w:rFonts w:asciiTheme="minorEastAsia" w:hAnsiTheme="minorEastAsia" w:hint="eastAsia"/>
        </w:rPr>
        <w:t>易方达原油证券投资基金（QDII）A类人民币、</w:t>
      </w:r>
      <w:r w:rsidR="009D50B3" w:rsidRPr="00914CAF">
        <w:rPr>
          <w:rFonts w:asciiTheme="minorEastAsia" w:hAnsiTheme="minorEastAsia" w:hint="eastAsia"/>
        </w:rPr>
        <w:t>易方达纳斯达克100指数证券投资基金（LOF）人民币</w:t>
      </w:r>
      <w:r w:rsidR="009D50B3">
        <w:rPr>
          <w:rFonts w:asciiTheme="minorEastAsia" w:hAnsiTheme="minorEastAsia" w:hint="eastAsia"/>
        </w:rPr>
        <w:t>、</w:t>
      </w:r>
      <w:r w:rsidR="009D50B3" w:rsidRPr="00B54989">
        <w:rPr>
          <w:rFonts w:asciiTheme="minorEastAsia" w:hAnsiTheme="minorEastAsia" w:hint="eastAsia"/>
        </w:rPr>
        <w:t>易方达中小板指数分级证券投资基金基础份额</w:t>
      </w:r>
      <w:r w:rsidR="009D50B3">
        <w:rPr>
          <w:rFonts w:asciiTheme="minorEastAsia" w:hAnsiTheme="minorEastAsia" w:hint="eastAsia"/>
        </w:rPr>
        <w:t>、</w:t>
      </w:r>
      <w:r w:rsidR="009D50B3" w:rsidRPr="007931BA">
        <w:rPr>
          <w:rFonts w:asciiTheme="minorEastAsia" w:hAnsiTheme="minorEastAsia" w:hint="eastAsia"/>
        </w:rPr>
        <w:t>易方达银行指数分级证券投资基金基础份额、易方达生物科技指数分级证券投资基金基础份额、易方达并购重组指数分级证券投资基金基础份额、易方达军工指数分级证券投资基金基础份额、易方达国企改革指数分级证券投资基金基础份额</w:t>
      </w:r>
      <w:r w:rsidR="009D50B3">
        <w:rPr>
          <w:rFonts w:asciiTheme="minorEastAsia" w:hAnsiTheme="minorEastAsia" w:hint="eastAsia"/>
        </w:rPr>
        <w:t>、</w:t>
      </w:r>
      <w:r w:rsidR="009D50B3" w:rsidRPr="007931BA">
        <w:rPr>
          <w:rFonts w:asciiTheme="minorEastAsia" w:hAnsiTheme="minorEastAsia" w:hint="eastAsia"/>
        </w:rPr>
        <w:t>易方达证券公司指数分级证券投资基金基础份额</w:t>
      </w:r>
      <w:r w:rsidR="009D50B3">
        <w:rPr>
          <w:rFonts w:asciiTheme="minorEastAsia" w:hAnsiTheme="minorEastAsia" w:hint="eastAsia"/>
        </w:rPr>
        <w:t>和</w:t>
      </w:r>
      <w:r w:rsidR="009D50B3" w:rsidRPr="00914CAF">
        <w:rPr>
          <w:rFonts w:asciiTheme="minorEastAsia" w:hAnsiTheme="minorEastAsia" w:hint="eastAsia"/>
        </w:rPr>
        <w:t>易方达上证50指数分级证券投资基金基础份额</w:t>
      </w:r>
      <w:r w:rsidRPr="007931BA">
        <w:rPr>
          <w:rFonts w:asciiTheme="minorEastAsia" w:eastAsiaTheme="minorEastAsia" w:hAnsiTheme="minorEastAsia"/>
        </w:rPr>
        <w:t>时，</w:t>
      </w:r>
      <w:r w:rsidRPr="007931BA">
        <w:rPr>
          <w:rFonts w:asciiTheme="minorEastAsia" w:eastAsiaTheme="minorEastAsia" w:hAnsiTheme="minorEastAsia" w:hint="eastAsia"/>
        </w:rPr>
        <w:t>赎回份额</w:t>
      </w:r>
      <w:r w:rsidR="003F0037" w:rsidRPr="007931BA">
        <w:rPr>
          <w:rFonts w:asciiTheme="minorEastAsia" w:eastAsiaTheme="minorEastAsia" w:hAnsiTheme="minorEastAsia" w:hint="eastAsia"/>
        </w:rPr>
        <w:t>同时</w:t>
      </w:r>
      <w:r w:rsidRPr="007931BA">
        <w:rPr>
          <w:rFonts w:asciiTheme="minorEastAsia" w:eastAsiaTheme="minorEastAsia" w:hAnsiTheme="minorEastAsia" w:hint="eastAsia"/>
        </w:rPr>
        <w:t>必须是整数份额。</w:t>
      </w:r>
    </w:p>
    <w:p w:rsidR="00DE04C4" w:rsidRDefault="00DE04C4" w:rsidP="00741B36">
      <w:pPr>
        <w:pStyle w:val="2"/>
        <w:spacing w:line="360" w:lineRule="auto"/>
        <w:ind w:firstLineChars="200" w:firstLine="480"/>
        <w:jc w:val="both"/>
        <w:rPr>
          <w:rFonts w:asciiTheme="minorEastAsia" w:eastAsiaTheme="minorEastAsia" w:hAnsiTheme="minorEastAsia"/>
        </w:rPr>
      </w:pPr>
      <w:r w:rsidRPr="009F038C">
        <w:rPr>
          <w:rFonts w:asciiTheme="minorEastAsia" w:eastAsiaTheme="minorEastAsia" w:hAnsiTheme="minorEastAsia" w:hint="eastAsia"/>
        </w:rPr>
        <w:t>易方达保本一号混合型证券投资基金、易方达恒生中国企业交易型开放式指数证券投资基金联接基金人民币、易方达标普全球高端消费品指数增强型证券投资基金人民币、易方达黄金主题证券投资基金（LOF）、易方达香港恒生综合小型股指数证券投资基金（LOF）、易方达标普500指数证券投资基金（LOF）人民</w:t>
      </w:r>
      <w:r w:rsidRPr="009F038C">
        <w:rPr>
          <w:rFonts w:asciiTheme="minorEastAsia" w:eastAsiaTheme="minorEastAsia" w:hAnsiTheme="minorEastAsia" w:hint="eastAsia"/>
        </w:rPr>
        <w:lastRenderedPageBreak/>
        <w:t>币、易方达标普医疗保健指数证券投资基金（LOF）人民币、易方达标普生物科技指数证券投资基金（LOF）人民币、易方达标普信息科技指数证券投资基金（LOF）人民币、易方达原油证券投资基金（QDII）A类人民币</w:t>
      </w:r>
      <w:r>
        <w:rPr>
          <w:rFonts w:asciiTheme="minorEastAsia" w:eastAsiaTheme="minorEastAsia" w:hAnsiTheme="minorEastAsia" w:hint="eastAsia"/>
        </w:rPr>
        <w:t>与</w:t>
      </w:r>
      <w:r w:rsidRPr="009F038C">
        <w:rPr>
          <w:rFonts w:asciiTheme="minorEastAsia" w:eastAsiaTheme="minorEastAsia" w:hAnsiTheme="minorEastAsia" w:hint="eastAsia"/>
        </w:rPr>
        <w:t>C类人民币、易方达纳斯达克100指数证券投资基金（LOF）人民币</w:t>
      </w:r>
      <w:r>
        <w:rPr>
          <w:rFonts w:asciiTheme="minorEastAsia" w:eastAsiaTheme="minorEastAsia" w:hAnsiTheme="minorEastAsia" w:hint="eastAsia"/>
        </w:rPr>
        <w:t>暂未开放</w:t>
      </w:r>
      <w:r>
        <w:rPr>
          <w:rFonts w:asciiTheme="minorEastAsia" w:eastAsiaTheme="minorEastAsia" w:hAnsiTheme="minorEastAsia"/>
        </w:rPr>
        <w:t>日常</w:t>
      </w:r>
      <w:r>
        <w:rPr>
          <w:rFonts w:asciiTheme="minorEastAsia" w:eastAsiaTheme="minorEastAsia" w:hAnsiTheme="minorEastAsia" w:hint="eastAsia"/>
        </w:rPr>
        <w:t>转换</w:t>
      </w:r>
      <w:r>
        <w:rPr>
          <w:rFonts w:asciiTheme="minorEastAsia" w:eastAsiaTheme="minorEastAsia" w:hAnsiTheme="minorEastAsia"/>
        </w:rPr>
        <w:t>转出业务</w:t>
      </w:r>
      <w:r w:rsidRPr="0057606D">
        <w:rPr>
          <w:rFonts w:asciiTheme="minorEastAsia" w:hAnsiTheme="minorEastAsia" w:hint="eastAsia"/>
        </w:rPr>
        <w:t>，</w:t>
      </w:r>
      <w:r>
        <w:rPr>
          <w:rFonts w:asciiTheme="minorEastAsia" w:hAnsiTheme="minorEastAsia" w:hint="eastAsia"/>
        </w:rPr>
        <w:t>其单笔最低转换</w:t>
      </w:r>
      <w:r>
        <w:rPr>
          <w:rFonts w:asciiTheme="minorEastAsia" w:hAnsiTheme="minorEastAsia"/>
        </w:rPr>
        <w:t>转出的</w:t>
      </w:r>
      <w:r>
        <w:rPr>
          <w:rFonts w:asciiTheme="minorEastAsia" w:hAnsiTheme="minorEastAsia" w:hint="eastAsia"/>
        </w:rPr>
        <w:t>数额限制</w:t>
      </w:r>
      <w:r w:rsidRPr="0057606D">
        <w:rPr>
          <w:rFonts w:asciiTheme="minorEastAsia" w:hAnsiTheme="minorEastAsia" w:hint="eastAsia"/>
        </w:rPr>
        <w:t>以该基金</w:t>
      </w:r>
      <w:r>
        <w:rPr>
          <w:rFonts w:asciiTheme="minorEastAsia" w:hAnsiTheme="minorEastAsia" w:hint="eastAsia"/>
        </w:rPr>
        <w:t>届时</w:t>
      </w:r>
      <w:r w:rsidRPr="0057606D">
        <w:rPr>
          <w:rFonts w:asciiTheme="minorEastAsia" w:hAnsiTheme="minorEastAsia" w:hint="eastAsia"/>
        </w:rPr>
        <w:t>开通相关业务公告为准。</w:t>
      </w:r>
    </w:p>
    <w:p w:rsidR="00CD7C0B" w:rsidRDefault="00E0214D" w:rsidP="00741B36">
      <w:pPr>
        <w:widowControl/>
        <w:spacing w:afterLines="0" w:line="360" w:lineRule="auto"/>
        <w:ind w:firstLineChars="200" w:firstLine="480"/>
        <w:contextualSpacing/>
        <w:rPr>
          <w:rFonts w:asciiTheme="minorEastAsia" w:hAnsiTheme="minorEastAsia" w:cs="宋体"/>
          <w:kern w:val="0"/>
          <w:sz w:val="24"/>
          <w:szCs w:val="24"/>
        </w:rPr>
      </w:pPr>
      <w:r w:rsidRPr="00E0214D">
        <w:rPr>
          <w:rFonts w:asciiTheme="minorEastAsia" w:hAnsiTheme="minorEastAsia" w:cs="宋体" w:hint="eastAsia"/>
          <w:kern w:val="0"/>
          <w:sz w:val="24"/>
          <w:szCs w:val="24"/>
        </w:rPr>
        <w:t>在符合法律法规规定的前提下，</w:t>
      </w:r>
      <w:r w:rsidR="000954A2" w:rsidRPr="007931BA">
        <w:rPr>
          <w:rFonts w:asciiTheme="minorEastAsia" w:hAnsiTheme="minorEastAsia" w:cs="宋体" w:hint="eastAsia"/>
          <w:kern w:val="0"/>
          <w:sz w:val="24"/>
          <w:szCs w:val="24"/>
        </w:rPr>
        <w:t>各销售机构可以根据自己的业务情况在上述最低份额限制基础上设置上述基金的最低赎回、转换转出及最低持有份额，投资者在销售机构办理基金赎回及转换</w:t>
      </w:r>
      <w:r>
        <w:rPr>
          <w:rFonts w:asciiTheme="minorEastAsia" w:hAnsiTheme="minorEastAsia" w:cs="宋体" w:hint="eastAsia"/>
          <w:kern w:val="0"/>
          <w:sz w:val="24"/>
          <w:szCs w:val="24"/>
        </w:rPr>
        <w:t>转出</w:t>
      </w:r>
      <w:r w:rsidR="000954A2" w:rsidRPr="007931BA">
        <w:rPr>
          <w:rFonts w:asciiTheme="minorEastAsia" w:hAnsiTheme="minorEastAsia" w:cs="宋体" w:hint="eastAsia"/>
          <w:kern w:val="0"/>
          <w:sz w:val="24"/>
          <w:szCs w:val="24"/>
        </w:rPr>
        <w:t>业务时，需</w:t>
      </w:r>
      <w:r w:rsidR="00AE7EC1" w:rsidRPr="007931BA">
        <w:rPr>
          <w:rFonts w:asciiTheme="minorEastAsia" w:hAnsiTheme="minorEastAsia" w:cs="宋体" w:hint="eastAsia"/>
          <w:kern w:val="0"/>
          <w:sz w:val="24"/>
          <w:szCs w:val="24"/>
        </w:rPr>
        <w:t>同时</w:t>
      </w:r>
      <w:r w:rsidR="000954A2" w:rsidRPr="007931BA">
        <w:rPr>
          <w:rFonts w:asciiTheme="minorEastAsia" w:hAnsiTheme="minorEastAsia" w:cs="宋体" w:hint="eastAsia"/>
          <w:kern w:val="0"/>
          <w:sz w:val="24"/>
          <w:szCs w:val="24"/>
        </w:rPr>
        <w:t>遵循销售机构的相关</w:t>
      </w:r>
      <w:r w:rsidR="008506AC" w:rsidRPr="007931BA">
        <w:rPr>
          <w:rFonts w:asciiTheme="minorEastAsia" w:hAnsiTheme="minorEastAsia" w:cs="宋体" w:hint="eastAsia"/>
          <w:kern w:val="0"/>
          <w:sz w:val="24"/>
          <w:szCs w:val="24"/>
        </w:rPr>
        <w:t>规定</w:t>
      </w:r>
      <w:r w:rsidR="000954A2" w:rsidRPr="007931BA">
        <w:rPr>
          <w:rFonts w:asciiTheme="minorEastAsia" w:hAnsiTheme="minorEastAsia" w:cs="宋体" w:hint="eastAsia"/>
          <w:kern w:val="0"/>
          <w:sz w:val="24"/>
          <w:szCs w:val="24"/>
        </w:rPr>
        <w:t>。</w:t>
      </w:r>
    </w:p>
    <w:p w:rsidR="0011743F" w:rsidRDefault="00F94F93" w:rsidP="00741B36">
      <w:pPr>
        <w:pStyle w:val="2"/>
        <w:spacing w:line="360" w:lineRule="auto"/>
        <w:ind w:firstLineChars="200" w:firstLine="480"/>
        <w:jc w:val="both"/>
        <w:rPr>
          <w:rFonts w:asciiTheme="minorEastAsia" w:eastAsiaTheme="minorEastAsia" w:hAnsiTheme="minorEastAsia"/>
        </w:rPr>
      </w:pPr>
      <w:r>
        <w:rPr>
          <w:rFonts w:asciiTheme="minorEastAsia" w:hAnsiTheme="minorEastAsia"/>
        </w:rPr>
        <w:t>3</w:t>
      </w:r>
      <w:r w:rsidR="0011743F" w:rsidRPr="00BB4D3E">
        <w:rPr>
          <w:rFonts w:asciiTheme="minorEastAsia" w:hAnsiTheme="minorEastAsia"/>
        </w:rPr>
        <w:t>．</w:t>
      </w:r>
      <w:r>
        <w:rPr>
          <w:rFonts w:asciiTheme="minorEastAsia" w:eastAsiaTheme="minorEastAsia" w:hAnsiTheme="minorEastAsia"/>
        </w:rPr>
        <w:t>调整定期定额投资的每期扣款最低金额</w:t>
      </w:r>
      <w:r>
        <w:rPr>
          <w:rFonts w:asciiTheme="minorEastAsia" w:eastAsiaTheme="minorEastAsia" w:hAnsiTheme="minorEastAsia" w:hint="eastAsia"/>
        </w:rPr>
        <w:t>限制</w:t>
      </w:r>
    </w:p>
    <w:p w:rsidR="0011743F" w:rsidRDefault="0011743F" w:rsidP="00741B36">
      <w:pPr>
        <w:pStyle w:val="2"/>
        <w:spacing w:line="360" w:lineRule="auto"/>
        <w:ind w:firstLineChars="200" w:firstLine="480"/>
        <w:jc w:val="both"/>
        <w:rPr>
          <w:rFonts w:asciiTheme="minorEastAsia" w:eastAsiaTheme="minorEastAsia" w:hAnsiTheme="minorEastAsia"/>
          <w:sz w:val="21"/>
          <w:szCs w:val="21"/>
        </w:rPr>
      </w:pPr>
      <w:r w:rsidRPr="0011743F">
        <w:rPr>
          <w:rFonts w:asciiTheme="minorEastAsia" w:eastAsiaTheme="minorEastAsia" w:hAnsiTheme="minorEastAsia" w:hint="eastAsia"/>
        </w:rPr>
        <w:t>（1）适用基金</w:t>
      </w:r>
    </w:p>
    <w:tbl>
      <w:tblPr>
        <w:tblW w:w="9380" w:type="dxa"/>
        <w:tblInd w:w="113" w:type="dxa"/>
        <w:tblLook w:val="04A0" w:firstRow="1" w:lastRow="0" w:firstColumn="1" w:lastColumn="0" w:noHBand="0" w:noVBand="1"/>
      </w:tblPr>
      <w:tblGrid>
        <w:gridCol w:w="1920"/>
        <w:gridCol w:w="7460"/>
      </w:tblGrid>
      <w:tr w:rsidR="009B349B" w:rsidRPr="009B349B" w:rsidTr="009B349B">
        <w:trPr>
          <w:trHeight w:val="270"/>
        </w:trPr>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349B" w:rsidRPr="009B349B" w:rsidRDefault="009B349B" w:rsidP="009B349B">
            <w:pPr>
              <w:widowControl/>
              <w:spacing w:afterLines="0" w:after="240"/>
              <w:jc w:val="center"/>
              <w:rPr>
                <w:rFonts w:ascii="宋体" w:eastAsia="宋体" w:hAnsi="宋体" w:cs="宋体"/>
                <w:color w:val="000000"/>
                <w:kern w:val="0"/>
                <w:sz w:val="22"/>
              </w:rPr>
            </w:pPr>
            <w:r w:rsidRPr="009B349B">
              <w:rPr>
                <w:rFonts w:ascii="宋体" w:eastAsia="宋体" w:hAnsi="宋体" w:cs="宋体" w:hint="eastAsia"/>
                <w:color w:val="000000"/>
                <w:kern w:val="0"/>
                <w:sz w:val="22"/>
              </w:rPr>
              <w:t>基金代码</w:t>
            </w:r>
          </w:p>
        </w:tc>
        <w:tc>
          <w:tcPr>
            <w:tcW w:w="7460" w:type="dxa"/>
            <w:tcBorders>
              <w:top w:val="single" w:sz="4" w:space="0" w:color="auto"/>
              <w:left w:val="nil"/>
              <w:bottom w:val="single" w:sz="4" w:space="0" w:color="auto"/>
              <w:right w:val="single" w:sz="4" w:space="0" w:color="auto"/>
            </w:tcBorders>
            <w:shd w:val="clear" w:color="000000" w:fill="FFFFFF"/>
            <w:noWrap/>
            <w:vAlign w:val="center"/>
            <w:hideMark/>
          </w:tcPr>
          <w:p w:rsidR="009B349B" w:rsidRPr="009B349B" w:rsidRDefault="009B349B" w:rsidP="009B349B">
            <w:pPr>
              <w:widowControl/>
              <w:spacing w:afterLines="0"/>
              <w:jc w:val="center"/>
              <w:rPr>
                <w:rFonts w:ascii="宋体" w:eastAsia="宋体" w:hAnsi="宋体" w:cs="宋体"/>
                <w:color w:val="000000"/>
                <w:kern w:val="0"/>
                <w:sz w:val="22"/>
              </w:rPr>
            </w:pPr>
            <w:r w:rsidRPr="009B349B">
              <w:rPr>
                <w:rFonts w:ascii="宋体" w:eastAsia="宋体" w:hAnsi="宋体" w:cs="宋体" w:hint="eastAsia"/>
                <w:color w:val="000000"/>
                <w:kern w:val="0"/>
                <w:sz w:val="22"/>
              </w:rPr>
              <w:t>基金全称</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000147、000148</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易方达高等级信用债债券型证券投资基金A类、C类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000404</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易方达新兴成长灵活配置混合型证券投资基金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000603</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易方达创新驱动灵活配置混合型证券投资基金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000950</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易方达沪深300非银行金融交易型开放式指数证券投资基金联接基金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001018</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易方达新经济灵活配置混合型证券投资基金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001076</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易方达改革红利混合型证券投资基金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001136</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易方达裕如灵活配置混合型证券投资基金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001182</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易方达安心回馈混合型证券投资基金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001184</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易方达新常态灵活配置混合型证券投资基金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001216、001217</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易方达新收益灵活配置混合型证券投资基金A类、C类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001249</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易方达新利灵活配置混合型证券投资基金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001285、001286</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易方达新鑫灵活配置混合型证券投资基金I类、E类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001314、001315</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易方达新益灵活配置混合型证券投资基金I类、E类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001342、001343</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易方达新享灵活配置混合型证券投资基金A类、C类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001373</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易方达新丝路灵活配置混合型证券投资基金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001382</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易方达国企改革混合型证券投资基金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001433</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易方达瑞景灵活配置混合型证券投资基金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001437、001438</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易方达瑞享灵活配置混合型证券投资基金I类、E类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001475</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易方达国防军工混合型证券投资基金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001512</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易方达中债3-5年期国债指数证券投资基金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001603</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易方达安盈回报混合型证券投资基金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001856</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易方达环保主题灵活配置混合型证券投资基金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001898</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易方达大健康主题灵活配置混合型证券投资基金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002351</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易方达裕祥回报债券型证券投资基金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002602</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易方达丰惠混合型证券投资基金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002910</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易方达供给改革灵活配置混合型证券投资基金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003293</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易方达科瑞灵活配置混合型证券投资基金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lastRenderedPageBreak/>
              <w:t>003358</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易方达中债7-10年期国开行债券指数证券投资基金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003524</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易方达深证成指交易型开放式指数证券投资基金联接基金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110002</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易方达策略成长证券投资基金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110005</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易方达积极成长证券投资基金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110010</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易方达价值成长混合型证券投资基金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110012</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易方达科汇灵活配置混合型证券投资基金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110015</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易方达行业领先企业混合型证券投资基金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110019、004742</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易方达深证100交易型开放式指数证券投资基金联接基金A类、C类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110020</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易方达沪深300交易型开放式指数发起式证券投资基金联接基金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110021、004743</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易方达上证中盘交易型开放式指数证券投资基金联接基金A类、C类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110022</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易方达消费行业股票型证券投资基金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110023</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易方达医疗保健行业混合型证券投资基金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110025</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易方达资源行业混合型证券投资基金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110026、004744</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易方达创业板交易型开放式指数证券投资基金联接基金A类、C类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110030</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易方达沪深300量化增强证券投资基金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110031</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易方达恒生中国企业交易型开放式指数证券投资基金联接基金人民币</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110035、110036</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易方达双债增强债券型证券投资基金A类、C类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110037、110038</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易方达纯债债券型证券投资基金A类、C类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112002</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易方达策略成长二号混合型证券投资基金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118001</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易方达亚洲精选股票型证券投资基金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118002</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易方达标普全球高端消费品指数增强型证券投资基金人民币</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161115</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易方达岁丰添利债券型证券投资基金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161116</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易方达黄金主题证券投资基金（LOF）</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161118</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易方达中小板指数分级证券投资基金基础份额</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161119、161120</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易方达中债新综合债券指数发起式证券投资基金（LOF）A类、C类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161121</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易方达银行指数分级证券投资基金基础份额</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161122</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易方达生物科技指数分级证券投资基金基础份额</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161123</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易方达并购重组指数分级证券投资基金基础份额</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161124</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易方达香港恒生综合小型股指数证券投资基金（LOF）</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161125</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易方达标普500指数证券投资基金（LOF）人民币</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161126</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易方达标普医疗保健指数证券投资基金（LOF）人民币</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161127</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易方达标普生物科技指数证券投资基金（LOF）人民币</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161128</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易方达标普信息科技指数证券投资基金（LOF）人民币</w:t>
            </w:r>
          </w:p>
        </w:tc>
      </w:tr>
      <w:tr w:rsidR="00891335"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tcPr>
          <w:p w:rsidR="00891335" w:rsidRPr="009B349B" w:rsidRDefault="00891335" w:rsidP="00891335">
            <w:pPr>
              <w:widowControl/>
              <w:spacing w:afterLines="0"/>
              <w:jc w:val="left"/>
              <w:rPr>
                <w:rFonts w:ascii="宋体" w:eastAsia="宋体" w:hAnsi="宋体" w:cs="宋体"/>
                <w:color w:val="000000"/>
                <w:kern w:val="0"/>
                <w:sz w:val="22"/>
              </w:rPr>
            </w:pPr>
            <w:r>
              <w:rPr>
                <w:rFonts w:hint="eastAsia"/>
                <w:color w:val="000000"/>
                <w:sz w:val="22"/>
              </w:rPr>
              <w:t>161129</w:t>
            </w:r>
            <w:r>
              <w:rPr>
                <w:rFonts w:hint="eastAsia"/>
                <w:color w:val="000000"/>
                <w:sz w:val="22"/>
              </w:rPr>
              <w:t>、</w:t>
            </w:r>
            <w:r>
              <w:rPr>
                <w:rFonts w:hint="eastAsia"/>
                <w:color w:val="000000"/>
                <w:sz w:val="22"/>
              </w:rPr>
              <w:t>003321</w:t>
            </w:r>
          </w:p>
        </w:tc>
        <w:tc>
          <w:tcPr>
            <w:tcW w:w="7460" w:type="dxa"/>
            <w:tcBorders>
              <w:top w:val="nil"/>
              <w:left w:val="nil"/>
              <w:bottom w:val="single" w:sz="4" w:space="0" w:color="auto"/>
              <w:right w:val="single" w:sz="4" w:space="0" w:color="auto"/>
            </w:tcBorders>
            <w:shd w:val="clear" w:color="000000" w:fill="FFFFFF"/>
            <w:noWrap/>
          </w:tcPr>
          <w:p w:rsidR="00891335" w:rsidRPr="009B349B" w:rsidRDefault="00891335" w:rsidP="00891335">
            <w:pPr>
              <w:widowControl/>
              <w:spacing w:afterLines="0"/>
              <w:jc w:val="left"/>
              <w:rPr>
                <w:rFonts w:ascii="宋体" w:eastAsia="宋体" w:hAnsi="宋体" w:cs="宋体"/>
                <w:color w:val="000000"/>
                <w:kern w:val="0"/>
                <w:sz w:val="22"/>
              </w:rPr>
            </w:pPr>
            <w:r>
              <w:rPr>
                <w:rFonts w:hint="eastAsia"/>
                <w:color w:val="000000"/>
                <w:sz w:val="22"/>
              </w:rPr>
              <w:t>易方达原油证券投资基金（</w:t>
            </w:r>
            <w:r>
              <w:rPr>
                <w:rFonts w:hint="eastAsia"/>
                <w:color w:val="000000"/>
                <w:sz w:val="22"/>
              </w:rPr>
              <w:t>QDII</w:t>
            </w:r>
            <w:r>
              <w:rPr>
                <w:rFonts w:hint="eastAsia"/>
                <w:color w:val="000000"/>
                <w:sz w:val="22"/>
              </w:rPr>
              <w:t>）</w:t>
            </w:r>
            <w:r>
              <w:rPr>
                <w:rFonts w:hint="eastAsia"/>
                <w:color w:val="000000"/>
                <w:sz w:val="22"/>
              </w:rPr>
              <w:t>A</w:t>
            </w:r>
            <w:r>
              <w:rPr>
                <w:rFonts w:hint="eastAsia"/>
                <w:color w:val="000000"/>
                <w:sz w:val="22"/>
              </w:rPr>
              <w:t>类人民币、</w:t>
            </w:r>
            <w:r>
              <w:rPr>
                <w:rFonts w:hint="eastAsia"/>
                <w:color w:val="000000"/>
                <w:sz w:val="22"/>
              </w:rPr>
              <w:t>C</w:t>
            </w:r>
            <w:r>
              <w:rPr>
                <w:rFonts w:hint="eastAsia"/>
                <w:color w:val="000000"/>
                <w:sz w:val="22"/>
              </w:rPr>
              <w:t>类人民币</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161130</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易方达纳斯达克100指数证券投资基金（LOF）人民币</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502003</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易方达军工指数分级证券投资基金基础份额</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502006</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易方达国企改革指数分级证券投资基金基础份额</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502010</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易方达证券公司指数分级证券投资基金基础份额</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502048</w:t>
            </w:r>
          </w:p>
        </w:tc>
        <w:tc>
          <w:tcPr>
            <w:tcW w:w="7460" w:type="dxa"/>
            <w:tcBorders>
              <w:top w:val="nil"/>
              <w:left w:val="nil"/>
              <w:bottom w:val="single" w:sz="4" w:space="0" w:color="auto"/>
              <w:right w:val="single" w:sz="4" w:space="0" w:color="auto"/>
            </w:tcBorders>
            <w:shd w:val="clear" w:color="000000" w:fill="FFFFFF"/>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易方达上证50指数分级证券投资基金基础份额</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000009</w:t>
            </w:r>
          </w:p>
        </w:tc>
        <w:tc>
          <w:tcPr>
            <w:tcW w:w="7460" w:type="dxa"/>
            <w:tcBorders>
              <w:top w:val="nil"/>
              <w:left w:val="nil"/>
              <w:bottom w:val="single" w:sz="4" w:space="0" w:color="auto"/>
              <w:right w:val="single" w:sz="4" w:space="0" w:color="auto"/>
            </w:tcBorders>
            <w:shd w:val="clear" w:color="auto" w:fill="auto"/>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易方达天天理财货币市场基金A类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9B349B" w:rsidRPr="009B349B" w:rsidRDefault="009B349B" w:rsidP="00DE04C4">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000620</w:t>
            </w:r>
          </w:p>
        </w:tc>
        <w:tc>
          <w:tcPr>
            <w:tcW w:w="7460" w:type="dxa"/>
            <w:tcBorders>
              <w:top w:val="nil"/>
              <w:left w:val="nil"/>
              <w:bottom w:val="single" w:sz="4" w:space="0" w:color="auto"/>
              <w:right w:val="single" w:sz="4" w:space="0" w:color="auto"/>
            </w:tcBorders>
            <w:shd w:val="clear" w:color="auto" w:fill="auto"/>
            <w:noWrap/>
            <w:hideMark/>
          </w:tcPr>
          <w:p w:rsidR="009B349B" w:rsidRPr="009B349B" w:rsidRDefault="009B349B" w:rsidP="00DE04C4">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易方达现金增利货币市场基金A类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000647</w:t>
            </w:r>
          </w:p>
        </w:tc>
        <w:tc>
          <w:tcPr>
            <w:tcW w:w="7460" w:type="dxa"/>
            <w:tcBorders>
              <w:top w:val="nil"/>
              <w:left w:val="nil"/>
              <w:bottom w:val="single" w:sz="4" w:space="0" w:color="auto"/>
              <w:right w:val="single" w:sz="4" w:space="0" w:color="auto"/>
            </w:tcBorders>
            <w:shd w:val="clear" w:color="auto" w:fill="auto"/>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易方达财富快线货币市场基金A类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000704</w:t>
            </w:r>
          </w:p>
        </w:tc>
        <w:tc>
          <w:tcPr>
            <w:tcW w:w="7460" w:type="dxa"/>
            <w:tcBorders>
              <w:top w:val="nil"/>
              <w:left w:val="nil"/>
              <w:bottom w:val="single" w:sz="4" w:space="0" w:color="auto"/>
              <w:right w:val="single" w:sz="4" w:space="0" w:color="auto"/>
            </w:tcBorders>
            <w:shd w:val="clear" w:color="auto" w:fill="auto"/>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易方达天天增利货币市场基金A类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lastRenderedPageBreak/>
              <w:t>000789、005098</w:t>
            </w:r>
          </w:p>
        </w:tc>
        <w:tc>
          <w:tcPr>
            <w:tcW w:w="7460" w:type="dxa"/>
            <w:tcBorders>
              <w:top w:val="nil"/>
              <w:left w:val="nil"/>
              <w:bottom w:val="single" w:sz="4" w:space="0" w:color="auto"/>
              <w:right w:val="single" w:sz="4" w:space="0" w:color="auto"/>
            </w:tcBorders>
            <w:shd w:val="clear" w:color="auto" w:fill="auto"/>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易方达龙宝货币市场基金A类、C类</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001010</w:t>
            </w:r>
          </w:p>
        </w:tc>
        <w:tc>
          <w:tcPr>
            <w:tcW w:w="7460" w:type="dxa"/>
            <w:tcBorders>
              <w:top w:val="nil"/>
              <w:left w:val="nil"/>
              <w:bottom w:val="single" w:sz="4" w:space="0" w:color="auto"/>
              <w:right w:val="single" w:sz="4" w:space="0" w:color="auto"/>
            </w:tcBorders>
            <w:shd w:val="clear" w:color="auto" w:fill="auto"/>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易方达增金宝货币市场基金</w:t>
            </w:r>
          </w:p>
        </w:tc>
      </w:tr>
      <w:tr w:rsidR="009B349B" w:rsidRPr="009B349B" w:rsidTr="009B349B">
        <w:trPr>
          <w:trHeight w:val="270"/>
        </w:trPr>
        <w:tc>
          <w:tcPr>
            <w:tcW w:w="1920" w:type="dxa"/>
            <w:tcBorders>
              <w:top w:val="nil"/>
              <w:left w:val="single" w:sz="4" w:space="0" w:color="auto"/>
              <w:bottom w:val="single" w:sz="4" w:space="0" w:color="auto"/>
              <w:right w:val="single" w:sz="4" w:space="0" w:color="auto"/>
            </w:tcBorders>
            <w:shd w:val="clear" w:color="auto" w:fill="auto"/>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110006</w:t>
            </w:r>
          </w:p>
        </w:tc>
        <w:tc>
          <w:tcPr>
            <w:tcW w:w="7460" w:type="dxa"/>
            <w:tcBorders>
              <w:top w:val="nil"/>
              <w:left w:val="nil"/>
              <w:bottom w:val="single" w:sz="4" w:space="0" w:color="auto"/>
              <w:right w:val="single" w:sz="4" w:space="0" w:color="auto"/>
            </w:tcBorders>
            <w:shd w:val="clear" w:color="auto" w:fill="auto"/>
            <w:noWrap/>
            <w:hideMark/>
          </w:tcPr>
          <w:p w:rsidR="009B349B" w:rsidRPr="009B349B" w:rsidRDefault="009B349B" w:rsidP="009B349B">
            <w:pPr>
              <w:widowControl/>
              <w:spacing w:afterLines="0"/>
              <w:jc w:val="left"/>
              <w:rPr>
                <w:rFonts w:ascii="宋体" w:eastAsia="宋体" w:hAnsi="宋体" w:cs="宋体"/>
                <w:color w:val="000000"/>
                <w:kern w:val="0"/>
                <w:sz w:val="22"/>
              </w:rPr>
            </w:pPr>
            <w:r w:rsidRPr="009B349B">
              <w:rPr>
                <w:rFonts w:ascii="宋体" w:eastAsia="宋体" w:hAnsi="宋体" w:cs="宋体" w:hint="eastAsia"/>
                <w:color w:val="000000"/>
                <w:kern w:val="0"/>
                <w:sz w:val="22"/>
              </w:rPr>
              <w:t>易方达货币市场基金A类</w:t>
            </w:r>
          </w:p>
        </w:tc>
      </w:tr>
    </w:tbl>
    <w:p w:rsidR="0011743F" w:rsidRDefault="0011743F" w:rsidP="00741B36">
      <w:pPr>
        <w:pStyle w:val="2"/>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（2）</w:t>
      </w:r>
      <w:r w:rsidR="00DE04C4">
        <w:rPr>
          <w:rFonts w:asciiTheme="minorEastAsia" w:eastAsiaTheme="minorEastAsia" w:hAnsiTheme="minorEastAsia"/>
        </w:rPr>
        <w:t>调整</w:t>
      </w:r>
      <w:r w:rsidR="00BB4E0B">
        <w:rPr>
          <w:rFonts w:asciiTheme="minorEastAsia" w:eastAsiaTheme="minorEastAsia" w:hAnsiTheme="minorEastAsia" w:hint="eastAsia"/>
        </w:rPr>
        <w:t>内容</w:t>
      </w:r>
    </w:p>
    <w:p w:rsidR="0011743F" w:rsidRPr="001F5FE9" w:rsidRDefault="0011743F" w:rsidP="00B139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line="360" w:lineRule="auto"/>
        <w:ind w:firstLineChars="200" w:firstLine="480"/>
        <w:rPr>
          <w:rFonts w:asciiTheme="minorEastAsia" w:hAnsiTheme="minorEastAsia" w:cs="宋体"/>
          <w:kern w:val="0"/>
          <w:sz w:val="24"/>
          <w:szCs w:val="24"/>
        </w:rPr>
      </w:pPr>
      <w:r w:rsidRPr="001F5FE9">
        <w:rPr>
          <w:rFonts w:asciiTheme="minorEastAsia" w:hAnsiTheme="minorEastAsia" w:cs="宋体" w:hint="eastAsia"/>
          <w:kern w:val="0"/>
          <w:sz w:val="24"/>
          <w:szCs w:val="24"/>
        </w:rPr>
        <w:t>调整后，</w:t>
      </w:r>
      <w:r w:rsidRPr="00BB4D3E">
        <w:rPr>
          <w:rFonts w:asciiTheme="minorEastAsia" w:hAnsiTheme="minorEastAsia" w:cs="宋体" w:hint="eastAsia"/>
          <w:kern w:val="0"/>
          <w:sz w:val="24"/>
          <w:szCs w:val="24"/>
        </w:rPr>
        <w:t>投资者通过非直销销售机构或本公司网上交易系统办理上述适用基金的定期定额投资，每期扣款最低金额限制</w:t>
      </w:r>
      <w:r w:rsidRPr="00BB4D3E">
        <w:rPr>
          <w:rFonts w:asciiTheme="minorEastAsia" w:hAnsiTheme="minorEastAsia" w:cs="宋体"/>
          <w:kern w:val="0"/>
          <w:sz w:val="24"/>
          <w:szCs w:val="24"/>
        </w:rPr>
        <w:t>调整为人民币</w:t>
      </w:r>
      <w:r>
        <w:rPr>
          <w:rFonts w:asciiTheme="minorEastAsia" w:hAnsiTheme="minorEastAsia" w:cs="宋体"/>
          <w:kern w:val="0"/>
          <w:sz w:val="24"/>
          <w:szCs w:val="24"/>
        </w:rPr>
        <w:t>1</w:t>
      </w:r>
      <w:r w:rsidRPr="00BB4D3E">
        <w:rPr>
          <w:rFonts w:asciiTheme="minorEastAsia" w:hAnsiTheme="minorEastAsia" w:cs="宋体"/>
          <w:kern w:val="0"/>
          <w:sz w:val="24"/>
          <w:szCs w:val="24"/>
        </w:rPr>
        <w:t>元。</w:t>
      </w:r>
    </w:p>
    <w:p w:rsidR="0011743F" w:rsidRPr="007931BA" w:rsidRDefault="0011743F" w:rsidP="00741B36">
      <w:pPr>
        <w:widowControl/>
        <w:spacing w:afterLines="0" w:line="360" w:lineRule="auto"/>
        <w:ind w:firstLineChars="200" w:firstLine="480"/>
        <w:contextualSpacing/>
        <w:rPr>
          <w:rFonts w:asciiTheme="minorEastAsia" w:hAnsiTheme="minorEastAsia" w:cs="宋体"/>
          <w:kern w:val="0"/>
          <w:sz w:val="24"/>
          <w:szCs w:val="24"/>
        </w:rPr>
      </w:pPr>
      <w:r w:rsidRPr="001F5FE9">
        <w:rPr>
          <w:rFonts w:asciiTheme="minorEastAsia" w:hAnsiTheme="minorEastAsia" w:cs="宋体" w:hint="eastAsia"/>
          <w:kern w:val="0"/>
          <w:sz w:val="24"/>
          <w:szCs w:val="24"/>
        </w:rPr>
        <w:t>在符合法律法规规定的前提下，各销售机构可以根据自己的业务情况在上述最低扣款金额限制基础上设置上述适用基金的最低扣款金额及交易级差，投资者在销售机构办理基金定期定额投资业务时，需同时遵循销售机构的相关规定。</w:t>
      </w:r>
    </w:p>
    <w:p w:rsidR="00CD7C0B" w:rsidRPr="007931BA" w:rsidRDefault="0014148C" w:rsidP="00741B36">
      <w:pPr>
        <w:widowControl/>
        <w:spacing w:afterLines="0" w:line="360" w:lineRule="auto"/>
        <w:ind w:firstLineChars="200" w:firstLine="480"/>
        <w:contextualSpacing/>
        <w:rPr>
          <w:rFonts w:asciiTheme="minorEastAsia" w:hAnsiTheme="minorEastAsia" w:cs="宋体"/>
          <w:kern w:val="0"/>
          <w:sz w:val="24"/>
          <w:szCs w:val="24"/>
        </w:rPr>
      </w:pPr>
      <w:r w:rsidRPr="007931BA">
        <w:rPr>
          <w:rFonts w:asciiTheme="minorEastAsia" w:hAnsiTheme="minorEastAsia" w:cs="宋体" w:hint="eastAsia"/>
          <w:kern w:val="0"/>
          <w:sz w:val="24"/>
          <w:szCs w:val="24"/>
        </w:rPr>
        <w:t>二、其他事项</w:t>
      </w:r>
    </w:p>
    <w:p w:rsidR="000348F0" w:rsidRPr="00BB4D3E" w:rsidRDefault="000348F0" w:rsidP="00110A44">
      <w:pPr>
        <w:widowControl/>
        <w:spacing w:afterLines="0" w:line="360" w:lineRule="auto"/>
        <w:ind w:firstLineChars="200" w:firstLine="480"/>
        <w:rPr>
          <w:rFonts w:asciiTheme="minorEastAsia" w:hAnsiTheme="minorEastAsia" w:cs="宋体"/>
          <w:kern w:val="0"/>
          <w:sz w:val="24"/>
          <w:szCs w:val="24"/>
        </w:rPr>
      </w:pPr>
      <w:r w:rsidRPr="00BB4D3E">
        <w:rPr>
          <w:rFonts w:asciiTheme="minorEastAsia" w:hAnsiTheme="minorEastAsia" w:cs="宋体"/>
          <w:kern w:val="0"/>
          <w:sz w:val="24"/>
          <w:szCs w:val="24"/>
        </w:rPr>
        <w:t>1．本公告仅对调整上述</w:t>
      </w:r>
      <w:r w:rsidRPr="00BB4D3E">
        <w:rPr>
          <w:rFonts w:asciiTheme="minorEastAsia" w:hAnsiTheme="minorEastAsia" w:cs="宋体" w:hint="eastAsia"/>
          <w:kern w:val="0"/>
          <w:sz w:val="24"/>
          <w:szCs w:val="24"/>
        </w:rPr>
        <w:t>适用</w:t>
      </w:r>
      <w:r w:rsidRPr="00BB4D3E">
        <w:rPr>
          <w:rFonts w:asciiTheme="minorEastAsia" w:hAnsiTheme="minorEastAsia" w:cs="宋体"/>
          <w:kern w:val="0"/>
          <w:sz w:val="24"/>
          <w:szCs w:val="24"/>
        </w:rPr>
        <w:t>基金</w:t>
      </w:r>
      <w:r w:rsidRPr="00BB4D3E">
        <w:rPr>
          <w:rFonts w:asciiTheme="minorEastAsia" w:hAnsiTheme="minorEastAsia" w:cs="宋体" w:hint="eastAsia"/>
          <w:kern w:val="0"/>
          <w:sz w:val="24"/>
          <w:szCs w:val="24"/>
        </w:rPr>
        <w:t>首次申购、追加申购的单笔最低金额，</w:t>
      </w:r>
      <w:r>
        <w:rPr>
          <w:rFonts w:asciiTheme="minorEastAsia" w:hAnsiTheme="minorEastAsia" w:hint="eastAsia"/>
          <w:sz w:val="24"/>
          <w:szCs w:val="24"/>
        </w:rPr>
        <w:t>赎回和</w:t>
      </w:r>
      <w:r>
        <w:rPr>
          <w:rFonts w:asciiTheme="minorEastAsia" w:hAnsiTheme="minorEastAsia"/>
          <w:sz w:val="24"/>
          <w:szCs w:val="24"/>
        </w:rPr>
        <w:t>转换</w:t>
      </w:r>
      <w:r>
        <w:rPr>
          <w:rFonts w:asciiTheme="minorEastAsia" w:hAnsiTheme="minorEastAsia" w:hint="eastAsia"/>
          <w:sz w:val="24"/>
          <w:szCs w:val="24"/>
        </w:rPr>
        <w:t>转出单笔</w:t>
      </w:r>
      <w:r>
        <w:rPr>
          <w:rFonts w:asciiTheme="minorEastAsia" w:hAnsiTheme="minorEastAsia"/>
          <w:sz w:val="24"/>
          <w:szCs w:val="24"/>
        </w:rPr>
        <w:t>最低</w:t>
      </w:r>
      <w:r>
        <w:rPr>
          <w:rFonts w:asciiTheme="minorEastAsia" w:hAnsiTheme="minorEastAsia" w:hint="eastAsia"/>
          <w:sz w:val="24"/>
          <w:szCs w:val="24"/>
        </w:rPr>
        <w:t>份</w:t>
      </w:r>
      <w:r>
        <w:rPr>
          <w:rFonts w:asciiTheme="minorEastAsia" w:hAnsiTheme="minorEastAsia"/>
          <w:sz w:val="24"/>
          <w:szCs w:val="24"/>
        </w:rPr>
        <w:t>额</w:t>
      </w:r>
      <w:r>
        <w:rPr>
          <w:rFonts w:asciiTheme="minorEastAsia" w:hAnsiTheme="minorEastAsia" w:hint="eastAsia"/>
          <w:sz w:val="24"/>
          <w:szCs w:val="24"/>
        </w:rPr>
        <w:t>，最低持有份额及</w:t>
      </w:r>
      <w:r w:rsidRPr="0083613A">
        <w:rPr>
          <w:rFonts w:asciiTheme="minorEastAsia" w:hAnsiTheme="minorEastAsia" w:hint="eastAsia"/>
          <w:sz w:val="24"/>
          <w:szCs w:val="24"/>
        </w:rPr>
        <w:t>定期定额投资的每期扣款最低金额限制</w:t>
      </w:r>
      <w:r w:rsidRPr="00BB4D3E">
        <w:rPr>
          <w:rFonts w:asciiTheme="minorEastAsia" w:hAnsiTheme="minorEastAsia" w:cs="宋体" w:hint="eastAsia"/>
          <w:kern w:val="0"/>
          <w:sz w:val="24"/>
          <w:szCs w:val="24"/>
        </w:rPr>
        <w:t>的有关事项予以说明。投资者欲了解上述适用基金的详细情况，请阅读基金</w:t>
      </w:r>
      <w:r w:rsidRPr="00BB4D3E">
        <w:rPr>
          <w:rFonts w:asciiTheme="minorEastAsia" w:hAnsiTheme="minorEastAsia" w:cs="Arial Unicode MS" w:hint="eastAsia"/>
          <w:kern w:val="0"/>
          <w:sz w:val="24"/>
          <w:szCs w:val="24"/>
        </w:rPr>
        <w:t>的相关法律文件</w:t>
      </w:r>
      <w:r w:rsidRPr="00BB4D3E">
        <w:rPr>
          <w:rFonts w:asciiTheme="minorEastAsia" w:hAnsiTheme="minorEastAsia" w:cs="宋体" w:hint="eastAsia"/>
          <w:kern w:val="0"/>
          <w:sz w:val="24"/>
          <w:szCs w:val="24"/>
        </w:rPr>
        <w:t>。</w:t>
      </w:r>
    </w:p>
    <w:p w:rsidR="003254DE" w:rsidRDefault="000348F0" w:rsidP="00F506B4">
      <w:pPr>
        <w:widowControl/>
        <w:spacing w:afterLines="0" w:line="360" w:lineRule="auto"/>
        <w:ind w:firstLineChars="200" w:firstLine="480"/>
        <w:rPr>
          <w:rFonts w:asciiTheme="minorEastAsia" w:hAnsiTheme="minorEastAsia" w:cs="宋体"/>
          <w:kern w:val="0"/>
          <w:sz w:val="24"/>
          <w:szCs w:val="24"/>
        </w:rPr>
      </w:pPr>
      <w:r w:rsidRPr="00BB4D3E">
        <w:rPr>
          <w:rFonts w:asciiTheme="minorEastAsia" w:hAnsiTheme="minorEastAsia" w:cs="宋体"/>
          <w:kern w:val="0"/>
          <w:sz w:val="24"/>
          <w:szCs w:val="24"/>
        </w:rPr>
        <w:t>2．</w:t>
      </w:r>
      <w:r w:rsidR="003254DE" w:rsidRPr="003254DE">
        <w:rPr>
          <w:rFonts w:asciiTheme="minorEastAsia" w:hAnsiTheme="minorEastAsia" w:cs="宋体" w:hint="eastAsia"/>
          <w:kern w:val="0"/>
          <w:sz w:val="24"/>
          <w:szCs w:val="24"/>
        </w:rPr>
        <w:t>本次调整方案所涉及的招募说明书相关内容，将在更新招募说明书时一并予以调整。</w:t>
      </w:r>
    </w:p>
    <w:p w:rsidR="003254DE" w:rsidRPr="003254DE" w:rsidRDefault="00F506B4" w:rsidP="00DE04C4">
      <w:pPr>
        <w:widowControl/>
        <w:spacing w:afterLines="0"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3</w:t>
      </w:r>
      <w:r w:rsidR="003254DE">
        <w:rPr>
          <w:rFonts w:asciiTheme="minorEastAsia" w:hAnsiTheme="minorEastAsia" w:cs="宋体"/>
          <w:kern w:val="0"/>
          <w:sz w:val="24"/>
          <w:szCs w:val="24"/>
        </w:rPr>
        <w:t>.</w:t>
      </w:r>
      <w:r w:rsidR="003254DE" w:rsidRPr="00BB4D3E">
        <w:rPr>
          <w:rFonts w:asciiTheme="minorEastAsia" w:hAnsiTheme="minorEastAsia" w:cs="宋体"/>
          <w:kern w:val="0"/>
          <w:sz w:val="24"/>
          <w:szCs w:val="24"/>
        </w:rPr>
        <w:t>投资者可登陆本公司网站（www.efunds.com.cn）或拨打客户服务电话（400-881-8088）咨询有关事宜。</w:t>
      </w:r>
    </w:p>
    <w:p w:rsidR="000348F0" w:rsidRPr="00BB4D3E" w:rsidRDefault="00DE04C4" w:rsidP="00741B36">
      <w:pPr>
        <w:widowControl/>
        <w:tabs>
          <w:tab w:val="num" w:pos="780"/>
        </w:tabs>
        <w:spacing w:afterLines="0"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4</w:t>
      </w:r>
      <w:r w:rsidR="003254DE">
        <w:rPr>
          <w:rFonts w:asciiTheme="minorEastAsia" w:hAnsiTheme="minorEastAsia" w:cs="宋体"/>
          <w:kern w:val="0"/>
          <w:sz w:val="24"/>
          <w:szCs w:val="24"/>
        </w:rPr>
        <w:t>.</w:t>
      </w:r>
      <w:r w:rsidR="000348F0" w:rsidRPr="00BB4D3E">
        <w:rPr>
          <w:rFonts w:asciiTheme="minorEastAsia" w:hAnsiTheme="minorEastAsia" w:cs="宋体" w:hint="eastAsia"/>
          <w:kern w:val="0"/>
          <w:sz w:val="24"/>
          <w:szCs w:val="24"/>
        </w:rPr>
        <w:t>风险提示：</w:t>
      </w:r>
      <w:r w:rsidR="000348F0" w:rsidRPr="002710B4">
        <w:rPr>
          <w:rFonts w:asciiTheme="minorEastAsia" w:hAnsiTheme="minorEastAsia" w:cs="宋体" w:hint="eastAsia"/>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348F0" w:rsidRPr="00BB4D3E" w:rsidRDefault="000348F0" w:rsidP="00741B36">
      <w:pPr>
        <w:widowControl/>
        <w:spacing w:afterLines="0" w:line="360" w:lineRule="auto"/>
        <w:ind w:firstLineChars="200" w:firstLine="480"/>
        <w:rPr>
          <w:rFonts w:asciiTheme="minorEastAsia" w:hAnsiTheme="minorEastAsia" w:cs="宋体"/>
          <w:kern w:val="0"/>
          <w:sz w:val="24"/>
          <w:szCs w:val="24"/>
        </w:rPr>
      </w:pPr>
      <w:r w:rsidRPr="00BB4D3E">
        <w:rPr>
          <w:rFonts w:asciiTheme="minorEastAsia" w:hAnsiTheme="minorEastAsia" w:cs="宋体" w:hint="eastAsia"/>
          <w:kern w:val="0"/>
          <w:sz w:val="24"/>
          <w:szCs w:val="24"/>
        </w:rPr>
        <w:t>特此公告。</w:t>
      </w:r>
    </w:p>
    <w:p w:rsidR="000A1A61" w:rsidRPr="007931BA" w:rsidRDefault="000A1A61" w:rsidP="00275461">
      <w:pPr>
        <w:widowControl/>
        <w:spacing w:afterLines="0" w:line="360" w:lineRule="auto"/>
        <w:ind w:firstLineChars="200" w:firstLine="480"/>
        <w:contextualSpacing/>
        <w:jc w:val="left"/>
        <w:rPr>
          <w:rFonts w:asciiTheme="minorEastAsia" w:hAnsiTheme="minorEastAsia" w:cs="宋体"/>
          <w:kern w:val="0"/>
          <w:sz w:val="24"/>
          <w:szCs w:val="24"/>
        </w:rPr>
      </w:pPr>
    </w:p>
    <w:p w:rsidR="000A1A61" w:rsidRPr="007931BA" w:rsidRDefault="000A1A61" w:rsidP="00275461">
      <w:pPr>
        <w:widowControl/>
        <w:spacing w:after="312" w:line="360" w:lineRule="auto"/>
        <w:ind w:firstLineChars="202" w:firstLine="485"/>
        <w:contextualSpacing/>
        <w:jc w:val="left"/>
        <w:rPr>
          <w:rFonts w:asciiTheme="minorEastAsia" w:hAnsiTheme="minorEastAsia" w:cs="宋体"/>
          <w:kern w:val="0"/>
          <w:sz w:val="24"/>
          <w:szCs w:val="24"/>
        </w:rPr>
      </w:pPr>
    </w:p>
    <w:p w:rsidR="000A1A61" w:rsidRPr="007931BA" w:rsidRDefault="0014148C" w:rsidP="004B20B8">
      <w:pPr>
        <w:widowControl/>
        <w:spacing w:after="312" w:line="360" w:lineRule="auto"/>
        <w:ind w:firstLineChars="202" w:firstLine="485"/>
        <w:contextualSpacing/>
        <w:jc w:val="right"/>
        <w:rPr>
          <w:rFonts w:asciiTheme="minorEastAsia" w:hAnsiTheme="minorEastAsia" w:cs="宋体"/>
          <w:kern w:val="0"/>
          <w:sz w:val="24"/>
          <w:szCs w:val="24"/>
        </w:rPr>
      </w:pPr>
      <w:r w:rsidRPr="007931BA">
        <w:rPr>
          <w:rFonts w:asciiTheme="minorEastAsia" w:hAnsiTheme="minorEastAsia" w:cs="宋体" w:hint="eastAsia"/>
          <w:kern w:val="0"/>
          <w:sz w:val="24"/>
          <w:szCs w:val="24"/>
        </w:rPr>
        <w:t>易方达基金管理有限公司</w:t>
      </w:r>
    </w:p>
    <w:p w:rsidR="000A1A61" w:rsidRPr="007931BA" w:rsidRDefault="007931BA" w:rsidP="004B20B8">
      <w:pPr>
        <w:widowControl/>
        <w:spacing w:after="312" w:line="360" w:lineRule="auto"/>
        <w:contextualSpacing/>
        <w:jc w:val="right"/>
        <w:rPr>
          <w:rFonts w:asciiTheme="minorEastAsia" w:hAnsiTheme="minorEastAsia" w:cs="宋体"/>
          <w:kern w:val="0"/>
          <w:sz w:val="24"/>
          <w:szCs w:val="24"/>
        </w:rPr>
      </w:pPr>
      <w:r w:rsidRPr="007931BA">
        <w:rPr>
          <w:rFonts w:asciiTheme="minorEastAsia" w:hAnsiTheme="minorEastAsia" w:cs="宋体" w:hint="eastAsia"/>
          <w:kern w:val="0"/>
          <w:sz w:val="24"/>
          <w:szCs w:val="24"/>
        </w:rPr>
        <w:t>201</w:t>
      </w:r>
      <w:r>
        <w:rPr>
          <w:rFonts w:asciiTheme="minorEastAsia" w:hAnsiTheme="minorEastAsia" w:cs="宋体"/>
          <w:kern w:val="0"/>
          <w:sz w:val="24"/>
          <w:szCs w:val="24"/>
        </w:rPr>
        <w:t>7</w:t>
      </w:r>
      <w:r w:rsidR="0014148C" w:rsidRPr="007931BA">
        <w:rPr>
          <w:rFonts w:asciiTheme="minorEastAsia" w:hAnsiTheme="minorEastAsia" w:cs="宋体" w:hint="eastAsia"/>
          <w:kern w:val="0"/>
          <w:sz w:val="24"/>
          <w:szCs w:val="24"/>
        </w:rPr>
        <w:t>年</w:t>
      </w:r>
      <w:r>
        <w:rPr>
          <w:rFonts w:asciiTheme="minorEastAsia" w:hAnsiTheme="minorEastAsia" w:cs="宋体"/>
          <w:kern w:val="0"/>
          <w:sz w:val="24"/>
          <w:szCs w:val="24"/>
        </w:rPr>
        <w:t>11</w:t>
      </w:r>
      <w:r w:rsidR="0014148C" w:rsidRPr="007931BA">
        <w:rPr>
          <w:rFonts w:asciiTheme="minorEastAsia" w:hAnsiTheme="minorEastAsia" w:cs="宋体" w:hint="eastAsia"/>
          <w:kern w:val="0"/>
          <w:sz w:val="24"/>
          <w:szCs w:val="24"/>
        </w:rPr>
        <w:t>月</w:t>
      </w:r>
      <w:r w:rsidR="003A16FD">
        <w:rPr>
          <w:rFonts w:asciiTheme="minorEastAsia" w:hAnsiTheme="minorEastAsia" w:cs="宋体"/>
          <w:kern w:val="0"/>
          <w:sz w:val="24"/>
          <w:szCs w:val="24"/>
        </w:rPr>
        <w:t>14</w:t>
      </w:r>
      <w:r w:rsidR="0014148C" w:rsidRPr="007931BA">
        <w:rPr>
          <w:rFonts w:asciiTheme="minorEastAsia" w:hAnsiTheme="minorEastAsia" w:cs="宋体" w:hint="eastAsia"/>
          <w:kern w:val="0"/>
          <w:sz w:val="24"/>
          <w:szCs w:val="24"/>
        </w:rPr>
        <w:t>日</w:t>
      </w:r>
    </w:p>
    <w:p w:rsidR="00477D82" w:rsidRPr="007931BA" w:rsidRDefault="00477D82" w:rsidP="000D12C6">
      <w:pPr>
        <w:spacing w:after="312"/>
        <w:rPr>
          <w:rFonts w:asciiTheme="minorEastAsia" w:hAnsiTheme="minorEastAsia"/>
          <w:sz w:val="24"/>
          <w:szCs w:val="24"/>
        </w:rPr>
      </w:pPr>
    </w:p>
    <w:sectPr w:rsidR="00477D82" w:rsidRPr="007931BA" w:rsidSect="00477D8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507" w:rsidRDefault="009C2507" w:rsidP="0014148C">
      <w:pPr>
        <w:spacing w:after="240"/>
      </w:pPr>
      <w:r>
        <w:separator/>
      </w:r>
    </w:p>
  </w:endnote>
  <w:endnote w:type="continuationSeparator" w:id="0">
    <w:p w:rsidR="009C2507" w:rsidRDefault="009C2507" w:rsidP="0014148C">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6D" w:rsidRDefault="0057606D" w:rsidP="0014148C">
    <w:pPr>
      <w:pStyle w:val="a4"/>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6D" w:rsidRDefault="0057606D" w:rsidP="0014148C">
    <w:pPr>
      <w:pStyle w:val="a4"/>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6D" w:rsidRDefault="0057606D" w:rsidP="0014148C">
    <w:pPr>
      <w:pStyle w:val="a4"/>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507" w:rsidRDefault="009C2507" w:rsidP="0014148C">
      <w:pPr>
        <w:spacing w:after="240"/>
      </w:pPr>
      <w:r>
        <w:separator/>
      </w:r>
    </w:p>
  </w:footnote>
  <w:footnote w:type="continuationSeparator" w:id="0">
    <w:p w:rsidR="009C2507" w:rsidRDefault="009C2507" w:rsidP="0014148C">
      <w:pPr>
        <w:spacing w:after="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6D" w:rsidRDefault="0057606D" w:rsidP="0014148C">
    <w:pPr>
      <w:pStyle w:val="a3"/>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6D" w:rsidRDefault="0057606D" w:rsidP="0014148C">
    <w:pPr>
      <w:pStyle w:val="a3"/>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6D" w:rsidRDefault="0057606D" w:rsidP="0014148C">
    <w:pPr>
      <w:pStyle w:val="a3"/>
      <w:spacing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8C"/>
    <w:rsid w:val="00004E00"/>
    <w:rsid w:val="00011985"/>
    <w:rsid w:val="0001226F"/>
    <w:rsid w:val="000348F0"/>
    <w:rsid w:val="00051C68"/>
    <w:rsid w:val="00054C79"/>
    <w:rsid w:val="000574E3"/>
    <w:rsid w:val="000726F4"/>
    <w:rsid w:val="000775EA"/>
    <w:rsid w:val="000954A2"/>
    <w:rsid w:val="000A1A61"/>
    <w:rsid w:val="000A7528"/>
    <w:rsid w:val="000D12C6"/>
    <w:rsid w:val="000D5D95"/>
    <w:rsid w:val="000F3867"/>
    <w:rsid w:val="00110A44"/>
    <w:rsid w:val="001142F4"/>
    <w:rsid w:val="00117311"/>
    <w:rsid w:val="0011743F"/>
    <w:rsid w:val="0014148C"/>
    <w:rsid w:val="0015190E"/>
    <w:rsid w:val="00195ED1"/>
    <w:rsid w:val="001F5FE9"/>
    <w:rsid w:val="00226F83"/>
    <w:rsid w:val="00237059"/>
    <w:rsid w:val="00257FAF"/>
    <w:rsid w:val="00265B9E"/>
    <w:rsid w:val="00275461"/>
    <w:rsid w:val="00277414"/>
    <w:rsid w:val="00281CA6"/>
    <w:rsid w:val="002946BC"/>
    <w:rsid w:val="002A2EFE"/>
    <w:rsid w:val="002A6540"/>
    <w:rsid w:val="002C2526"/>
    <w:rsid w:val="002E6571"/>
    <w:rsid w:val="00311FA5"/>
    <w:rsid w:val="003254DE"/>
    <w:rsid w:val="00350FFE"/>
    <w:rsid w:val="0035592F"/>
    <w:rsid w:val="003632BB"/>
    <w:rsid w:val="0039040E"/>
    <w:rsid w:val="00390EE1"/>
    <w:rsid w:val="003A02C4"/>
    <w:rsid w:val="003A16FD"/>
    <w:rsid w:val="003B2DD8"/>
    <w:rsid w:val="003C5222"/>
    <w:rsid w:val="003D6973"/>
    <w:rsid w:val="003F0037"/>
    <w:rsid w:val="00461B0C"/>
    <w:rsid w:val="004741F8"/>
    <w:rsid w:val="00477D82"/>
    <w:rsid w:val="004B20B8"/>
    <w:rsid w:val="004D050A"/>
    <w:rsid w:val="004D21C9"/>
    <w:rsid w:val="004F7366"/>
    <w:rsid w:val="0056091A"/>
    <w:rsid w:val="00570DB5"/>
    <w:rsid w:val="0057606D"/>
    <w:rsid w:val="00586879"/>
    <w:rsid w:val="005949D7"/>
    <w:rsid w:val="00594FF2"/>
    <w:rsid w:val="005A47AD"/>
    <w:rsid w:val="005C7B4A"/>
    <w:rsid w:val="005F7527"/>
    <w:rsid w:val="00603BA1"/>
    <w:rsid w:val="006257D2"/>
    <w:rsid w:val="00652856"/>
    <w:rsid w:val="00653258"/>
    <w:rsid w:val="00667F24"/>
    <w:rsid w:val="00692AA2"/>
    <w:rsid w:val="00693B8F"/>
    <w:rsid w:val="00696579"/>
    <w:rsid w:val="006A779F"/>
    <w:rsid w:val="006B6918"/>
    <w:rsid w:val="006D4436"/>
    <w:rsid w:val="006E0614"/>
    <w:rsid w:val="006E1C59"/>
    <w:rsid w:val="006E7DD5"/>
    <w:rsid w:val="006F5864"/>
    <w:rsid w:val="00701DA6"/>
    <w:rsid w:val="007241A6"/>
    <w:rsid w:val="00741B36"/>
    <w:rsid w:val="00745906"/>
    <w:rsid w:val="00786DD9"/>
    <w:rsid w:val="007931BA"/>
    <w:rsid w:val="00797B70"/>
    <w:rsid w:val="007C4C8A"/>
    <w:rsid w:val="008075DE"/>
    <w:rsid w:val="00847AF6"/>
    <w:rsid w:val="008506AC"/>
    <w:rsid w:val="008512CE"/>
    <w:rsid w:val="0085720E"/>
    <w:rsid w:val="00865903"/>
    <w:rsid w:val="00873B3C"/>
    <w:rsid w:val="00881268"/>
    <w:rsid w:val="008820C5"/>
    <w:rsid w:val="0089029A"/>
    <w:rsid w:val="00891335"/>
    <w:rsid w:val="008C56F3"/>
    <w:rsid w:val="008C690D"/>
    <w:rsid w:val="008D4791"/>
    <w:rsid w:val="008D5749"/>
    <w:rsid w:val="00914CAF"/>
    <w:rsid w:val="009626E5"/>
    <w:rsid w:val="00981B2C"/>
    <w:rsid w:val="009A3DAE"/>
    <w:rsid w:val="009B349B"/>
    <w:rsid w:val="009C2507"/>
    <w:rsid w:val="009D1967"/>
    <w:rsid w:val="009D50B3"/>
    <w:rsid w:val="009D5220"/>
    <w:rsid w:val="009F1751"/>
    <w:rsid w:val="009F6F66"/>
    <w:rsid w:val="00A02A9C"/>
    <w:rsid w:val="00A10B46"/>
    <w:rsid w:val="00A26F13"/>
    <w:rsid w:val="00A32841"/>
    <w:rsid w:val="00A72D6B"/>
    <w:rsid w:val="00A84511"/>
    <w:rsid w:val="00A911B7"/>
    <w:rsid w:val="00A96CA6"/>
    <w:rsid w:val="00A97463"/>
    <w:rsid w:val="00AA63E9"/>
    <w:rsid w:val="00AC597D"/>
    <w:rsid w:val="00AE5008"/>
    <w:rsid w:val="00AE7EC1"/>
    <w:rsid w:val="00AF184D"/>
    <w:rsid w:val="00AF65CB"/>
    <w:rsid w:val="00B01E45"/>
    <w:rsid w:val="00B13907"/>
    <w:rsid w:val="00B34050"/>
    <w:rsid w:val="00B35679"/>
    <w:rsid w:val="00B54989"/>
    <w:rsid w:val="00B77813"/>
    <w:rsid w:val="00B8258B"/>
    <w:rsid w:val="00B8320C"/>
    <w:rsid w:val="00BB4E0B"/>
    <w:rsid w:val="00BD2DC9"/>
    <w:rsid w:val="00C21D49"/>
    <w:rsid w:val="00C5697F"/>
    <w:rsid w:val="00C65A72"/>
    <w:rsid w:val="00C86EAD"/>
    <w:rsid w:val="00C92132"/>
    <w:rsid w:val="00CB46C7"/>
    <w:rsid w:val="00CD05A6"/>
    <w:rsid w:val="00CD7C0B"/>
    <w:rsid w:val="00D1412C"/>
    <w:rsid w:val="00D1556F"/>
    <w:rsid w:val="00D33460"/>
    <w:rsid w:val="00D42F3A"/>
    <w:rsid w:val="00D52F20"/>
    <w:rsid w:val="00D53900"/>
    <w:rsid w:val="00D53D74"/>
    <w:rsid w:val="00D92D82"/>
    <w:rsid w:val="00DA387B"/>
    <w:rsid w:val="00DB2527"/>
    <w:rsid w:val="00DB6D9B"/>
    <w:rsid w:val="00DD03E1"/>
    <w:rsid w:val="00DE04C4"/>
    <w:rsid w:val="00DE195E"/>
    <w:rsid w:val="00DE7355"/>
    <w:rsid w:val="00E0214D"/>
    <w:rsid w:val="00E15314"/>
    <w:rsid w:val="00E16F2E"/>
    <w:rsid w:val="00E41C92"/>
    <w:rsid w:val="00E43D27"/>
    <w:rsid w:val="00E458BE"/>
    <w:rsid w:val="00E50C5C"/>
    <w:rsid w:val="00E52435"/>
    <w:rsid w:val="00E54978"/>
    <w:rsid w:val="00EA1AA3"/>
    <w:rsid w:val="00EC075F"/>
    <w:rsid w:val="00EC2A1F"/>
    <w:rsid w:val="00F35AAD"/>
    <w:rsid w:val="00F506B4"/>
    <w:rsid w:val="00F63B18"/>
    <w:rsid w:val="00F63C4E"/>
    <w:rsid w:val="00F72D7C"/>
    <w:rsid w:val="00F74CB5"/>
    <w:rsid w:val="00F94F93"/>
    <w:rsid w:val="00FA2813"/>
    <w:rsid w:val="00FB3E59"/>
    <w:rsid w:val="00FB53C2"/>
    <w:rsid w:val="00FC3EFB"/>
    <w:rsid w:val="00FD1A2F"/>
    <w:rsid w:val="00FE1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EE24DD-841A-4A70-B570-26030A46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afterLines="1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14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148C"/>
    <w:rPr>
      <w:sz w:val="18"/>
      <w:szCs w:val="18"/>
    </w:rPr>
  </w:style>
  <w:style w:type="paragraph" w:styleId="a4">
    <w:name w:val="footer"/>
    <w:basedOn w:val="a"/>
    <w:link w:val="Char0"/>
    <w:uiPriority w:val="99"/>
    <w:semiHidden/>
    <w:unhideWhenUsed/>
    <w:rsid w:val="001414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148C"/>
    <w:rPr>
      <w:sz w:val="18"/>
      <w:szCs w:val="18"/>
    </w:rPr>
  </w:style>
  <w:style w:type="paragraph" w:customStyle="1" w:styleId="font14">
    <w:name w:val="font14"/>
    <w:basedOn w:val="a"/>
    <w:rsid w:val="0014148C"/>
    <w:pPr>
      <w:widowControl/>
      <w:spacing w:afterLines="0" w:line="360" w:lineRule="auto"/>
      <w:jc w:val="left"/>
    </w:pPr>
    <w:rPr>
      <w:rFonts w:ascii="宋体" w:eastAsia="宋体" w:hAnsi="宋体" w:cs="宋体"/>
      <w:kern w:val="0"/>
      <w:szCs w:val="21"/>
    </w:rPr>
  </w:style>
  <w:style w:type="character" w:styleId="a5">
    <w:name w:val="Strong"/>
    <w:basedOn w:val="a0"/>
    <w:uiPriority w:val="22"/>
    <w:qFormat/>
    <w:rsid w:val="0014148C"/>
    <w:rPr>
      <w:b/>
      <w:bCs/>
    </w:rPr>
  </w:style>
  <w:style w:type="character" w:customStyle="1" w:styleId="txtcontent11">
    <w:name w:val="txtcontent11"/>
    <w:basedOn w:val="a0"/>
    <w:rsid w:val="0014148C"/>
  </w:style>
  <w:style w:type="paragraph" w:customStyle="1" w:styleId="2">
    <w:name w:val="2"/>
    <w:basedOn w:val="a"/>
    <w:rsid w:val="0014148C"/>
    <w:pPr>
      <w:widowControl/>
      <w:spacing w:afterLines="0"/>
      <w:jc w:val="left"/>
    </w:pPr>
    <w:rPr>
      <w:rFonts w:ascii="宋体" w:eastAsia="宋体" w:hAnsi="宋体" w:cs="宋体"/>
      <w:kern w:val="0"/>
      <w:sz w:val="24"/>
      <w:szCs w:val="24"/>
    </w:rPr>
  </w:style>
  <w:style w:type="paragraph" w:customStyle="1" w:styleId="Default">
    <w:name w:val="Default"/>
    <w:rsid w:val="008C56F3"/>
    <w:pPr>
      <w:widowControl w:val="0"/>
      <w:autoSpaceDE w:val="0"/>
      <w:autoSpaceDN w:val="0"/>
      <w:adjustRightInd w:val="0"/>
      <w:spacing w:afterLines="0"/>
      <w:jc w:val="left"/>
    </w:pPr>
    <w:rPr>
      <w:rFonts w:ascii="宋体" w:eastAsia="宋体" w:cs="宋体"/>
      <w:color w:val="000000"/>
      <w:kern w:val="0"/>
      <w:sz w:val="24"/>
      <w:szCs w:val="24"/>
    </w:rPr>
  </w:style>
  <w:style w:type="table" w:styleId="a6">
    <w:name w:val="Table Grid"/>
    <w:basedOn w:val="a1"/>
    <w:uiPriority w:val="59"/>
    <w:rsid w:val="00FB53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B3E59"/>
    <w:rPr>
      <w:sz w:val="18"/>
      <w:szCs w:val="18"/>
    </w:rPr>
  </w:style>
  <w:style w:type="character" w:customStyle="1" w:styleId="Char1">
    <w:name w:val="批注框文本 Char"/>
    <w:basedOn w:val="a0"/>
    <w:link w:val="a7"/>
    <w:uiPriority w:val="99"/>
    <w:semiHidden/>
    <w:rsid w:val="00FB3E59"/>
    <w:rPr>
      <w:sz w:val="18"/>
      <w:szCs w:val="18"/>
    </w:rPr>
  </w:style>
  <w:style w:type="paragraph" w:styleId="a8">
    <w:name w:val="Document Map"/>
    <w:basedOn w:val="a"/>
    <w:link w:val="Char2"/>
    <w:uiPriority w:val="99"/>
    <w:semiHidden/>
    <w:unhideWhenUsed/>
    <w:rsid w:val="000D5D95"/>
    <w:rPr>
      <w:rFonts w:ascii="宋体" w:eastAsia="宋体"/>
      <w:sz w:val="18"/>
      <w:szCs w:val="18"/>
    </w:rPr>
  </w:style>
  <w:style w:type="character" w:customStyle="1" w:styleId="Char2">
    <w:name w:val="文档结构图 Char"/>
    <w:basedOn w:val="a0"/>
    <w:link w:val="a8"/>
    <w:uiPriority w:val="99"/>
    <w:semiHidden/>
    <w:rsid w:val="000D5D95"/>
    <w:rPr>
      <w:rFonts w:ascii="宋体" w:eastAsia="宋体"/>
      <w:sz w:val="18"/>
      <w:szCs w:val="18"/>
    </w:rPr>
  </w:style>
  <w:style w:type="character" w:styleId="a9">
    <w:name w:val="annotation reference"/>
    <w:basedOn w:val="a0"/>
    <w:uiPriority w:val="99"/>
    <w:semiHidden/>
    <w:unhideWhenUsed/>
    <w:rsid w:val="009F1751"/>
    <w:rPr>
      <w:sz w:val="21"/>
      <w:szCs w:val="21"/>
    </w:rPr>
  </w:style>
  <w:style w:type="paragraph" w:styleId="aa">
    <w:name w:val="annotation text"/>
    <w:basedOn w:val="a"/>
    <w:link w:val="Char3"/>
    <w:uiPriority w:val="99"/>
    <w:semiHidden/>
    <w:unhideWhenUsed/>
    <w:rsid w:val="009F1751"/>
    <w:pPr>
      <w:jc w:val="left"/>
    </w:pPr>
  </w:style>
  <w:style w:type="character" w:customStyle="1" w:styleId="Char3">
    <w:name w:val="批注文字 Char"/>
    <w:basedOn w:val="a0"/>
    <w:link w:val="aa"/>
    <w:uiPriority w:val="99"/>
    <w:semiHidden/>
    <w:rsid w:val="009F1751"/>
  </w:style>
  <w:style w:type="paragraph" w:styleId="ab">
    <w:name w:val="annotation subject"/>
    <w:basedOn w:val="aa"/>
    <w:next w:val="aa"/>
    <w:link w:val="Char4"/>
    <w:uiPriority w:val="99"/>
    <w:semiHidden/>
    <w:unhideWhenUsed/>
    <w:rsid w:val="009F1751"/>
    <w:rPr>
      <w:b/>
      <w:bCs/>
    </w:rPr>
  </w:style>
  <w:style w:type="character" w:customStyle="1" w:styleId="Char4">
    <w:name w:val="批注主题 Char"/>
    <w:basedOn w:val="Char3"/>
    <w:link w:val="ab"/>
    <w:uiPriority w:val="99"/>
    <w:semiHidden/>
    <w:rsid w:val="009F1751"/>
    <w:rPr>
      <w:b/>
      <w:bCs/>
    </w:rPr>
  </w:style>
  <w:style w:type="character" w:styleId="HTML">
    <w:name w:val="HTML Typewriter"/>
    <w:basedOn w:val="a0"/>
    <w:uiPriority w:val="99"/>
    <w:semiHidden/>
    <w:unhideWhenUsed/>
    <w:rsid w:val="002946BC"/>
    <w:rPr>
      <w:rFonts w:ascii="宋体" w:eastAsia="宋体" w:hAnsi="宋体" w:cs="宋体"/>
      <w:sz w:val="24"/>
      <w:szCs w:val="24"/>
    </w:rPr>
  </w:style>
  <w:style w:type="paragraph" w:styleId="ac">
    <w:name w:val="Revision"/>
    <w:hidden/>
    <w:uiPriority w:val="99"/>
    <w:semiHidden/>
    <w:rsid w:val="00FC3EFB"/>
    <w:pPr>
      <w:spacing w:afterLines="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6325">
      <w:bodyDiv w:val="1"/>
      <w:marLeft w:val="0"/>
      <w:marRight w:val="0"/>
      <w:marTop w:val="0"/>
      <w:marBottom w:val="0"/>
      <w:divBdr>
        <w:top w:val="none" w:sz="0" w:space="0" w:color="auto"/>
        <w:left w:val="none" w:sz="0" w:space="0" w:color="auto"/>
        <w:bottom w:val="none" w:sz="0" w:space="0" w:color="auto"/>
        <w:right w:val="none" w:sz="0" w:space="0" w:color="auto"/>
      </w:divBdr>
    </w:div>
    <w:div w:id="634916525">
      <w:bodyDiv w:val="1"/>
      <w:marLeft w:val="0"/>
      <w:marRight w:val="0"/>
      <w:marTop w:val="0"/>
      <w:marBottom w:val="0"/>
      <w:divBdr>
        <w:top w:val="none" w:sz="0" w:space="0" w:color="auto"/>
        <w:left w:val="none" w:sz="0" w:space="0" w:color="auto"/>
        <w:bottom w:val="none" w:sz="0" w:space="0" w:color="auto"/>
        <w:right w:val="none" w:sz="0" w:space="0" w:color="auto"/>
      </w:divBdr>
    </w:div>
    <w:div w:id="886721097">
      <w:bodyDiv w:val="1"/>
      <w:marLeft w:val="0"/>
      <w:marRight w:val="0"/>
      <w:marTop w:val="0"/>
      <w:marBottom w:val="0"/>
      <w:divBdr>
        <w:top w:val="none" w:sz="0" w:space="0" w:color="auto"/>
        <w:left w:val="none" w:sz="0" w:space="0" w:color="auto"/>
        <w:bottom w:val="none" w:sz="0" w:space="0" w:color="auto"/>
        <w:right w:val="none" w:sz="0" w:space="0" w:color="auto"/>
      </w:divBdr>
    </w:div>
    <w:div w:id="1148131156">
      <w:bodyDiv w:val="1"/>
      <w:marLeft w:val="0"/>
      <w:marRight w:val="0"/>
      <w:marTop w:val="0"/>
      <w:marBottom w:val="0"/>
      <w:divBdr>
        <w:top w:val="none" w:sz="0" w:space="0" w:color="auto"/>
        <w:left w:val="none" w:sz="0" w:space="0" w:color="auto"/>
        <w:bottom w:val="none" w:sz="0" w:space="0" w:color="auto"/>
        <w:right w:val="none" w:sz="0" w:space="0" w:color="auto"/>
      </w:divBdr>
    </w:div>
    <w:div w:id="1485396071">
      <w:bodyDiv w:val="1"/>
      <w:marLeft w:val="0"/>
      <w:marRight w:val="0"/>
      <w:marTop w:val="0"/>
      <w:marBottom w:val="0"/>
      <w:divBdr>
        <w:top w:val="none" w:sz="0" w:space="0" w:color="auto"/>
        <w:left w:val="none" w:sz="0" w:space="0" w:color="auto"/>
        <w:bottom w:val="none" w:sz="0" w:space="0" w:color="auto"/>
        <w:right w:val="none" w:sz="0" w:space="0" w:color="auto"/>
      </w:divBdr>
    </w:div>
    <w:div w:id="1537548100">
      <w:bodyDiv w:val="1"/>
      <w:marLeft w:val="0"/>
      <w:marRight w:val="0"/>
      <w:marTop w:val="0"/>
      <w:marBottom w:val="0"/>
      <w:divBdr>
        <w:top w:val="none" w:sz="0" w:space="0" w:color="auto"/>
        <w:left w:val="none" w:sz="0" w:space="0" w:color="auto"/>
        <w:bottom w:val="none" w:sz="0" w:space="0" w:color="auto"/>
        <w:right w:val="none" w:sz="0" w:space="0" w:color="auto"/>
      </w:divBdr>
    </w:div>
    <w:div w:id="1548027568">
      <w:bodyDiv w:val="1"/>
      <w:marLeft w:val="0"/>
      <w:marRight w:val="0"/>
      <w:marTop w:val="0"/>
      <w:marBottom w:val="0"/>
      <w:divBdr>
        <w:top w:val="none" w:sz="0" w:space="0" w:color="auto"/>
        <w:left w:val="none" w:sz="0" w:space="0" w:color="auto"/>
        <w:bottom w:val="none" w:sz="0" w:space="0" w:color="auto"/>
        <w:right w:val="none" w:sz="0" w:space="0" w:color="auto"/>
      </w:divBdr>
    </w:div>
    <w:div w:id="1602302847">
      <w:bodyDiv w:val="1"/>
      <w:marLeft w:val="0"/>
      <w:marRight w:val="0"/>
      <w:marTop w:val="0"/>
      <w:marBottom w:val="0"/>
      <w:divBdr>
        <w:top w:val="none" w:sz="0" w:space="0" w:color="auto"/>
        <w:left w:val="none" w:sz="0" w:space="0" w:color="auto"/>
        <w:bottom w:val="none" w:sz="0" w:space="0" w:color="auto"/>
        <w:right w:val="none" w:sz="0" w:space="0" w:color="auto"/>
      </w:divBdr>
    </w:div>
    <w:div w:id="20896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325AA-7B74-464E-883A-80CDB1EF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1540</Words>
  <Characters>8784</Characters>
  <Application>Microsoft Office Word</Application>
  <DocSecurity>0</DocSecurity>
  <Lines>73</Lines>
  <Paragraphs>20</Paragraphs>
  <ScaleCrop>false</ScaleCrop>
  <Company>易方达基金管理有限公司</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查方龙</dc:creator>
  <cp:keywords/>
  <dc:description/>
  <cp:lastModifiedBy>王奇恩</cp:lastModifiedBy>
  <cp:revision>3</cp:revision>
  <dcterms:created xsi:type="dcterms:W3CDTF">2017-11-13T09:04:00Z</dcterms:created>
  <dcterms:modified xsi:type="dcterms:W3CDTF">2017-11-13T09:36:00Z</dcterms:modified>
</cp:coreProperties>
</file>